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after="120" w:afterLines="50"/>
        <w:jc w:val="left"/>
        <w:rPr>
          <w:rFonts w:ascii="宋体" w:hAnsi="宋体"/>
          <w:b/>
          <w:color w:val="auto"/>
          <w:kern w:val="0"/>
          <w:sz w:val="24"/>
          <w:szCs w:val="24"/>
        </w:rPr>
      </w:pPr>
      <w:bookmarkStart w:id="0" w:name="_Toc476140370"/>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b/>
          <w:color w:val="auto"/>
          <w:kern w:val="0"/>
          <w:sz w:val="52"/>
          <w:szCs w:val="52"/>
          <w:lang w:eastAsia="zh-CN"/>
        </w:rPr>
      </w:pPr>
      <w:bookmarkStart w:id="62" w:name="_GoBack"/>
      <w:r>
        <w:rPr>
          <w:rFonts w:hint="eastAsia" w:ascii="宋体" w:hAnsi="宋体"/>
          <w:b/>
          <w:color w:val="auto"/>
          <w:kern w:val="0"/>
          <w:sz w:val="52"/>
          <w:szCs w:val="52"/>
        </w:rPr>
        <w:t>城维计划-广州市边坡危岩体调查评价与防治规划应对策略</w:t>
      </w:r>
      <w:r>
        <w:rPr>
          <w:rFonts w:hint="eastAsia" w:ascii="宋体" w:hAnsi="宋体"/>
          <w:b/>
          <w:color w:val="auto"/>
          <w:kern w:val="0"/>
          <w:sz w:val="52"/>
          <w:szCs w:val="52"/>
          <w:lang w:eastAsia="zh-CN"/>
        </w:rPr>
        <w:t>项目</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b/>
          <w:color w:val="auto"/>
          <w:kern w:val="0"/>
          <w:sz w:val="52"/>
          <w:szCs w:val="52"/>
          <w:lang w:eastAsia="zh-CN"/>
        </w:rPr>
      </w:pPr>
      <w:r>
        <w:rPr>
          <w:rFonts w:hint="eastAsia" w:ascii="宋体" w:hAnsi="宋体"/>
          <w:b/>
          <w:color w:val="auto"/>
          <w:kern w:val="0"/>
          <w:sz w:val="52"/>
          <w:szCs w:val="52"/>
          <w:lang w:eastAsia="zh-CN"/>
        </w:rPr>
        <w:t>采购需求书</w:t>
      </w:r>
      <w:bookmarkEnd w:id="62"/>
    </w:p>
    <w:p>
      <w:pPr>
        <w:widowControl/>
        <w:spacing w:before="120" w:beforeLines="50" w:after="120" w:afterLines="50"/>
        <w:jc w:val="center"/>
        <w:rPr>
          <w:rFonts w:hint="eastAsia" w:ascii="宋体" w:hAnsi="宋体"/>
          <w:b/>
          <w:color w:val="auto"/>
          <w:kern w:val="0"/>
          <w:sz w:val="52"/>
          <w:szCs w:val="52"/>
          <w:lang w:eastAsia="zh-CN"/>
        </w:rPr>
      </w:pPr>
    </w:p>
    <w:p>
      <w:pPr>
        <w:widowControl/>
        <w:spacing w:before="120" w:beforeLines="50" w:after="120" w:afterLines="50"/>
        <w:jc w:val="center"/>
        <w:rPr>
          <w:rFonts w:hint="eastAsia" w:ascii="宋体" w:hAnsi="宋体"/>
          <w:b/>
          <w:color w:val="auto"/>
          <w:kern w:val="0"/>
          <w:sz w:val="52"/>
          <w:szCs w:val="52"/>
          <w:lang w:eastAsia="zh-CN"/>
        </w:rPr>
      </w:pPr>
    </w:p>
    <w:p>
      <w:pPr>
        <w:widowControl/>
        <w:spacing w:before="120" w:beforeLines="50" w:after="120" w:afterLines="50"/>
        <w:jc w:val="center"/>
        <w:rPr>
          <w:rFonts w:hint="eastAsia" w:ascii="宋体" w:hAnsi="宋体"/>
          <w:b/>
          <w:color w:val="auto"/>
          <w:kern w:val="0"/>
          <w:sz w:val="52"/>
          <w:szCs w:val="52"/>
          <w:lang w:eastAsia="zh-CN"/>
        </w:rPr>
      </w:pPr>
    </w:p>
    <w:p>
      <w:pPr>
        <w:widowControl/>
        <w:spacing w:before="120" w:beforeLines="50" w:after="120" w:afterLines="50"/>
        <w:jc w:val="center"/>
        <w:rPr>
          <w:rFonts w:hint="default" w:ascii="宋体" w:hAnsi="宋体"/>
          <w:b/>
          <w:color w:val="auto"/>
          <w:kern w:val="0"/>
          <w:sz w:val="52"/>
          <w:szCs w:val="52"/>
          <w:lang w:val="en-US" w:eastAsia="zh-CN"/>
        </w:rPr>
      </w:pPr>
    </w:p>
    <w:p>
      <w:pPr>
        <w:widowControl/>
        <w:spacing w:before="120" w:beforeLines="50" w:after="120" w:afterLines="50"/>
        <w:jc w:val="center"/>
        <w:rPr>
          <w:rFonts w:hint="default" w:ascii="宋体" w:hAnsi="宋体"/>
          <w:b/>
          <w:color w:val="auto"/>
          <w:kern w:val="0"/>
          <w:sz w:val="52"/>
          <w:szCs w:val="52"/>
          <w:lang w:val="en-US" w:eastAsia="zh-CN"/>
        </w:rPr>
      </w:pPr>
    </w:p>
    <w:p>
      <w:pPr>
        <w:widowControl/>
        <w:spacing w:before="120" w:beforeLines="50" w:after="120" w:afterLines="50"/>
        <w:jc w:val="center"/>
        <w:rPr>
          <w:rFonts w:hint="eastAsia" w:ascii="宋体" w:hAnsi="宋体"/>
          <w:b/>
          <w:color w:val="auto"/>
          <w:kern w:val="0"/>
          <w:sz w:val="52"/>
          <w:szCs w:val="52"/>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color w:val="auto"/>
          <w:kern w:val="0"/>
          <w:sz w:val="28"/>
          <w:szCs w:val="28"/>
          <w:lang w:eastAsia="zh-CN"/>
        </w:rPr>
      </w:pPr>
      <w:r>
        <w:rPr>
          <w:rFonts w:hint="eastAsia" w:ascii="宋体" w:hAnsi="宋体"/>
          <w:b/>
          <w:color w:val="auto"/>
          <w:kern w:val="0"/>
          <w:sz w:val="28"/>
          <w:szCs w:val="28"/>
          <w:lang w:eastAsia="zh-CN"/>
        </w:rPr>
        <w:t>广州市规划和自然资源局</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color w:val="auto"/>
          <w:kern w:val="0"/>
          <w:sz w:val="28"/>
          <w:szCs w:val="28"/>
          <w:lang w:val="en-US" w:eastAsia="zh-CN"/>
        </w:rPr>
      </w:pPr>
      <w:r>
        <w:rPr>
          <w:rFonts w:hint="eastAsia" w:ascii="宋体" w:hAnsi="宋体"/>
          <w:b/>
          <w:color w:val="auto"/>
          <w:kern w:val="0"/>
          <w:sz w:val="28"/>
          <w:szCs w:val="28"/>
          <w:lang w:val="en-US" w:eastAsia="zh-CN"/>
        </w:rPr>
        <w:t>2020年1月</w:t>
      </w: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imes New Roman"/>
          <w:b/>
          <w:bCs/>
          <w:color w:val="auto"/>
          <w:kern w:val="2"/>
          <w:sz w:val="24"/>
          <w:szCs w:val="28"/>
          <w:lang w:val="en-US" w:eastAsia="zh-CN" w:bidi="ar-SA"/>
        </w:rPr>
        <w:id w:val="147461046"/>
        <w15:color w:val="DBDBDB"/>
        <w:docPartObj>
          <w:docPartGallery w:val="Table of Contents"/>
          <w:docPartUnique/>
        </w:docPartObj>
      </w:sdtPr>
      <w:sdtEndPr>
        <w:rPr>
          <w:rFonts w:hint="eastAsia" w:ascii="宋体" w:hAnsi="宋体" w:eastAsia="宋体" w:cs="Times New Roman"/>
          <w:b/>
          <w:bCs/>
          <w:color w:val="auto"/>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color w:val="auto"/>
              <w:sz w:val="52"/>
              <w:szCs w:val="56"/>
            </w:rPr>
          </w:pPr>
          <w:r>
            <w:rPr>
              <w:rFonts w:ascii="宋体" w:hAnsi="宋体" w:eastAsia="宋体"/>
              <w:b/>
              <w:bCs/>
              <w:color w:val="auto"/>
              <w:sz w:val="52"/>
              <w:szCs w:val="56"/>
            </w:rPr>
            <w:t>目</w:t>
          </w:r>
          <w:r>
            <w:rPr>
              <w:rFonts w:hint="eastAsia" w:ascii="宋体" w:hAnsi="宋体"/>
              <w:b/>
              <w:bCs/>
              <w:color w:val="auto"/>
              <w:sz w:val="52"/>
              <w:szCs w:val="56"/>
              <w:lang w:val="en-US" w:eastAsia="zh-CN"/>
            </w:rPr>
            <w:t xml:space="preserve">  </w:t>
          </w:r>
          <w:r>
            <w:rPr>
              <w:rFonts w:ascii="宋体" w:hAnsi="宋体" w:eastAsia="宋体"/>
              <w:b/>
              <w:bCs/>
              <w:color w:val="auto"/>
              <w:sz w:val="52"/>
              <w:szCs w:val="56"/>
            </w:rPr>
            <w:t>录</w:t>
          </w:r>
        </w:p>
        <w:p>
          <w:pPr>
            <w:spacing w:before="0" w:beforeLines="0" w:after="0" w:afterLines="0" w:line="240" w:lineRule="auto"/>
            <w:ind w:left="0" w:leftChars="0" w:right="0" w:rightChars="0" w:firstLine="0" w:firstLineChars="0"/>
            <w:jc w:val="center"/>
            <w:rPr>
              <w:rFonts w:ascii="宋体" w:hAnsi="宋体" w:eastAsia="宋体"/>
              <w:color w:val="auto"/>
              <w:sz w:val="44"/>
              <w:szCs w:val="48"/>
            </w:rPr>
          </w:pP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b/>
              <w:color w:val="auto"/>
              <w:kern w:val="0"/>
              <w:sz w:val="28"/>
              <w:szCs w:val="28"/>
              <w:lang w:eastAsia="zh-CN"/>
            </w:rPr>
            <w:fldChar w:fldCharType="begin"/>
          </w:r>
          <w:r>
            <w:rPr>
              <w:rFonts w:hint="eastAsia" w:ascii="宋体" w:hAnsi="宋体"/>
              <w:b/>
              <w:color w:val="auto"/>
              <w:kern w:val="0"/>
              <w:sz w:val="28"/>
              <w:szCs w:val="28"/>
              <w:lang w:eastAsia="zh-CN"/>
            </w:rPr>
            <w:instrText xml:space="preserve">TOC \o "1-1" \h \u </w:instrText>
          </w:r>
          <w:r>
            <w:rPr>
              <w:rFonts w:hint="eastAsia" w:ascii="宋体" w:hAnsi="宋体"/>
              <w:b/>
              <w:color w:val="auto"/>
              <w:kern w:val="0"/>
              <w:sz w:val="28"/>
              <w:szCs w:val="28"/>
              <w:lang w:eastAsia="zh-CN"/>
            </w:rPr>
            <w:fldChar w:fldCharType="separate"/>
          </w: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_Toc12880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一、</w:t>
          </w:r>
          <w:r>
            <w:rPr>
              <w:rFonts w:hint="eastAsia" w:ascii="宋体" w:hAnsi="宋体"/>
              <w:bCs/>
              <w:color w:val="auto"/>
              <w:kern w:val="0"/>
              <w:sz w:val="28"/>
              <w:szCs w:val="28"/>
              <w:lang w:val="zh-CN" w:eastAsia="zh-CN"/>
            </w:rPr>
            <w:t>项目背景</w:t>
          </w:r>
          <w:r>
            <w:rPr>
              <w:color w:val="auto"/>
              <w:sz w:val="28"/>
              <w:szCs w:val="28"/>
            </w:rPr>
            <w:tab/>
          </w:r>
          <w:r>
            <w:rPr>
              <w:color w:val="auto"/>
              <w:sz w:val="28"/>
              <w:szCs w:val="28"/>
            </w:rPr>
            <w:fldChar w:fldCharType="begin"/>
          </w:r>
          <w:r>
            <w:rPr>
              <w:color w:val="auto"/>
              <w:sz w:val="28"/>
              <w:szCs w:val="28"/>
            </w:rPr>
            <w:instrText xml:space="preserve"> PAGEREF _Toc12880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_Toc20649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二、</w:t>
          </w:r>
          <w:r>
            <w:rPr>
              <w:rFonts w:hint="eastAsia" w:ascii="宋体" w:hAnsi="宋体"/>
              <w:bCs/>
              <w:color w:val="auto"/>
              <w:kern w:val="0"/>
              <w:sz w:val="28"/>
              <w:szCs w:val="28"/>
              <w:lang w:val="zh-CN" w:eastAsia="zh-CN"/>
            </w:rPr>
            <w:t>项目目标</w:t>
          </w:r>
          <w:r>
            <w:rPr>
              <w:color w:val="auto"/>
              <w:sz w:val="28"/>
              <w:szCs w:val="28"/>
            </w:rPr>
            <w:tab/>
          </w:r>
          <w:r>
            <w:rPr>
              <w:color w:val="auto"/>
              <w:sz w:val="28"/>
              <w:szCs w:val="28"/>
            </w:rPr>
            <w:fldChar w:fldCharType="begin"/>
          </w:r>
          <w:r>
            <w:rPr>
              <w:color w:val="auto"/>
              <w:sz w:val="28"/>
              <w:szCs w:val="28"/>
            </w:rPr>
            <w:instrText xml:space="preserve"> PAGEREF _Toc20649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_Toc20658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三、</w:t>
          </w:r>
          <w:r>
            <w:rPr>
              <w:rFonts w:hint="eastAsia" w:ascii="宋体" w:hAnsi="宋体"/>
              <w:bCs/>
              <w:color w:val="auto"/>
              <w:kern w:val="0"/>
              <w:sz w:val="28"/>
              <w:szCs w:val="28"/>
              <w:lang w:val="zh-CN" w:eastAsia="zh-CN"/>
            </w:rPr>
            <w:t>工作内容</w:t>
          </w:r>
          <w:r>
            <w:rPr>
              <w:color w:val="auto"/>
              <w:sz w:val="28"/>
              <w:szCs w:val="28"/>
            </w:rPr>
            <w:tab/>
          </w:r>
          <w:r>
            <w:rPr>
              <w:color w:val="auto"/>
              <w:sz w:val="28"/>
              <w:szCs w:val="28"/>
            </w:rPr>
            <w:fldChar w:fldCharType="begin"/>
          </w:r>
          <w:r>
            <w:rPr>
              <w:color w:val="auto"/>
              <w:sz w:val="28"/>
              <w:szCs w:val="28"/>
            </w:rPr>
            <w:instrText xml:space="preserve"> PAGEREF _Toc20658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_Toc32713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四、</w:t>
          </w:r>
          <w:r>
            <w:rPr>
              <w:rFonts w:hint="eastAsia" w:ascii="宋体" w:hAnsi="宋体"/>
              <w:bCs/>
              <w:color w:val="auto"/>
              <w:kern w:val="0"/>
              <w:sz w:val="28"/>
              <w:szCs w:val="28"/>
              <w:lang w:val="zh-CN" w:eastAsia="zh-CN"/>
            </w:rPr>
            <w:t>工作要求</w:t>
          </w:r>
          <w:r>
            <w:rPr>
              <w:color w:val="auto"/>
              <w:sz w:val="28"/>
              <w:szCs w:val="28"/>
            </w:rPr>
            <w:tab/>
          </w:r>
          <w:r>
            <w:rPr>
              <w:color w:val="auto"/>
              <w:sz w:val="28"/>
              <w:szCs w:val="28"/>
            </w:rPr>
            <w:fldChar w:fldCharType="begin"/>
          </w:r>
          <w:r>
            <w:rPr>
              <w:color w:val="auto"/>
              <w:sz w:val="28"/>
              <w:szCs w:val="28"/>
            </w:rPr>
            <w:instrText xml:space="preserve"> PAGEREF _Toc32713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_Toc25508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五、</w:t>
          </w:r>
          <w:r>
            <w:rPr>
              <w:rFonts w:hint="eastAsia" w:ascii="宋体" w:hAnsi="宋体"/>
              <w:bCs/>
              <w:color w:val="auto"/>
              <w:kern w:val="0"/>
              <w:sz w:val="28"/>
              <w:szCs w:val="28"/>
              <w:lang w:val="zh-CN" w:eastAsia="zh-CN"/>
            </w:rPr>
            <w:t>主要依据及技术标准</w:t>
          </w:r>
          <w:r>
            <w:rPr>
              <w:color w:val="auto"/>
              <w:sz w:val="28"/>
              <w:szCs w:val="28"/>
            </w:rPr>
            <w:tab/>
          </w:r>
          <w:r>
            <w:rPr>
              <w:color w:val="auto"/>
              <w:sz w:val="28"/>
              <w:szCs w:val="28"/>
            </w:rPr>
            <w:fldChar w:fldCharType="begin"/>
          </w:r>
          <w:r>
            <w:rPr>
              <w:color w:val="auto"/>
              <w:sz w:val="28"/>
              <w:szCs w:val="28"/>
            </w:rPr>
            <w:instrText xml:space="preserve"> PAGEREF _Toc25508 </w:instrText>
          </w:r>
          <w:r>
            <w:rPr>
              <w:color w:val="auto"/>
              <w:sz w:val="28"/>
              <w:szCs w:val="28"/>
            </w:rPr>
            <w:fldChar w:fldCharType="separate"/>
          </w:r>
          <w:r>
            <w:rPr>
              <w:color w:val="auto"/>
              <w:sz w:val="28"/>
              <w:szCs w:val="28"/>
            </w:rPr>
            <w:t>4</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_Toc10401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六、</w:t>
          </w:r>
          <w:r>
            <w:rPr>
              <w:rFonts w:hint="eastAsia" w:ascii="宋体" w:hAnsi="宋体"/>
              <w:bCs/>
              <w:color w:val="auto"/>
              <w:kern w:val="0"/>
              <w:sz w:val="28"/>
              <w:szCs w:val="28"/>
              <w:lang w:val="zh-CN" w:eastAsia="zh-CN"/>
            </w:rPr>
            <w:t>服务期限</w:t>
          </w:r>
          <w:r>
            <w:rPr>
              <w:color w:val="auto"/>
              <w:sz w:val="28"/>
              <w:szCs w:val="28"/>
            </w:rPr>
            <w:tab/>
          </w:r>
          <w:r>
            <w:rPr>
              <w:color w:val="auto"/>
              <w:sz w:val="28"/>
              <w:szCs w:val="28"/>
            </w:rPr>
            <w:fldChar w:fldCharType="begin"/>
          </w:r>
          <w:r>
            <w:rPr>
              <w:color w:val="auto"/>
              <w:sz w:val="28"/>
              <w:szCs w:val="28"/>
            </w:rPr>
            <w:instrText xml:space="preserve"> PAGEREF _Toc10401 </w:instrText>
          </w:r>
          <w:r>
            <w:rPr>
              <w:color w:val="auto"/>
              <w:sz w:val="28"/>
              <w:szCs w:val="28"/>
            </w:rPr>
            <w:fldChar w:fldCharType="separate"/>
          </w:r>
          <w:r>
            <w:rPr>
              <w:color w:val="auto"/>
              <w:sz w:val="28"/>
              <w:szCs w:val="28"/>
            </w:rPr>
            <w:t>4</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_Toc31788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七、</w:t>
          </w:r>
          <w:r>
            <w:rPr>
              <w:rFonts w:hint="eastAsia" w:ascii="宋体" w:hAnsi="宋体"/>
              <w:bCs/>
              <w:color w:val="auto"/>
              <w:kern w:val="0"/>
              <w:sz w:val="28"/>
              <w:szCs w:val="28"/>
              <w:lang w:val="zh-CN" w:eastAsia="zh-CN"/>
            </w:rPr>
            <w:t>验收标准</w:t>
          </w:r>
          <w:r>
            <w:rPr>
              <w:color w:val="auto"/>
              <w:sz w:val="28"/>
              <w:szCs w:val="28"/>
            </w:rPr>
            <w:tab/>
          </w:r>
          <w:r>
            <w:rPr>
              <w:color w:val="auto"/>
              <w:sz w:val="28"/>
              <w:szCs w:val="28"/>
            </w:rPr>
            <w:fldChar w:fldCharType="begin"/>
          </w:r>
          <w:r>
            <w:rPr>
              <w:color w:val="auto"/>
              <w:sz w:val="28"/>
              <w:szCs w:val="28"/>
            </w:rPr>
            <w:instrText xml:space="preserve"> PAGEREF _Toc31788 </w:instrText>
          </w:r>
          <w:r>
            <w:rPr>
              <w:color w:val="auto"/>
              <w:sz w:val="28"/>
              <w:szCs w:val="28"/>
            </w:rPr>
            <w:fldChar w:fldCharType="separate"/>
          </w:r>
          <w:r>
            <w:rPr>
              <w:color w:val="auto"/>
              <w:sz w:val="28"/>
              <w:szCs w:val="28"/>
            </w:rPr>
            <w:t>4</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_Toc32117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八、</w:t>
          </w:r>
          <w:r>
            <w:rPr>
              <w:rFonts w:hint="eastAsia" w:ascii="宋体" w:hAnsi="宋体"/>
              <w:bCs/>
              <w:color w:val="auto"/>
              <w:kern w:val="0"/>
              <w:sz w:val="28"/>
              <w:szCs w:val="28"/>
              <w:lang w:val="zh-CN" w:eastAsia="zh-CN"/>
            </w:rPr>
            <w:t>采购方式</w:t>
          </w:r>
          <w:r>
            <w:rPr>
              <w:color w:val="auto"/>
              <w:sz w:val="28"/>
              <w:szCs w:val="28"/>
            </w:rPr>
            <w:tab/>
          </w:r>
          <w:r>
            <w:rPr>
              <w:color w:val="auto"/>
              <w:sz w:val="28"/>
              <w:szCs w:val="28"/>
            </w:rPr>
            <w:fldChar w:fldCharType="begin"/>
          </w:r>
          <w:r>
            <w:rPr>
              <w:color w:val="auto"/>
              <w:sz w:val="28"/>
              <w:szCs w:val="28"/>
            </w:rPr>
            <w:instrText xml:space="preserve"> PAGEREF _Toc32117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_Toc7052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九、</w:t>
          </w:r>
          <w:r>
            <w:rPr>
              <w:rFonts w:hint="eastAsia" w:ascii="宋体" w:hAnsi="宋体"/>
              <w:bCs/>
              <w:color w:val="auto"/>
              <w:kern w:val="0"/>
              <w:sz w:val="28"/>
              <w:szCs w:val="28"/>
              <w:lang w:val="zh-CN" w:eastAsia="zh-CN"/>
            </w:rPr>
            <w:t>合同签订</w:t>
          </w:r>
          <w:r>
            <w:rPr>
              <w:color w:val="auto"/>
              <w:sz w:val="28"/>
              <w:szCs w:val="28"/>
            </w:rPr>
            <w:tab/>
          </w:r>
          <w:r>
            <w:rPr>
              <w:color w:val="auto"/>
              <w:sz w:val="28"/>
              <w:szCs w:val="28"/>
            </w:rPr>
            <w:fldChar w:fldCharType="begin"/>
          </w:r>
          <w:r>
            <w:rPr>
              <w:color w:val="auto"/>
              <w:sz w:val="28"/>
              <w:szCs w:val="28"/>
            </w:rPr>
            <w:instrText xml:space="preserve"> PAGEREF _Toc7052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_Toc23136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十、</w:t>
          </w:r>
          <w:r>
            <w:rPr>
              <w:rFonts w:hint="eastAsia" w:ascii="宋体" w:hAnsi="宋体"/>
              <w:bCs/>
              <w:color w:val="auto"/>
              <w:kern w:val="0"/>
              <w:sz w:val="28"/>
              <w:szCs w:val="28"/>
              <w:lang w:val="zh-CN" w:eastAsia="zh-CN"/>
            </w:rPr>
            <w:t>付款方式</w:t>
          </w:r>
          <w:r>
            <w:rPr>
              <w:color w:val="auto"/>
              <w:sz w:val="28"/>
              <w:szCs w:val="28"/>
            </w:rPr>
            <w:tab/>
          </w:r>
          <w:r>
            <w:rPr>
              <w:color w:val="auto"/>
              <w:sz w:val="28"/>
              <w:szCs w:val="28"/>
            </w:rPr>
            <w:fldChar w:fldCharType="begin"/>
          </w:r>
          <w:r>
            <w:rPr>
              <w:color w:val="auto"/>
              <w:sz w:val="28"/>
              <w:szCs w:val="28"/>
            </w:rPr>
            <w:instrText xml:space="preserve"> PAGEREF _Toc23136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_Toc5583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十一、</w:t>
          </w:r>
          <w:r>
            <w:rPr>
              <w:rFonts w:hint="eastAsia" w:ascii="宋体" w:hAnsi="宋体"/>
              <w:bCs/>
              <w:color w:val="auto"/>
              <w:kern w:val="0"/>
              <w:sz w:val="28"/>
              <w:szCs w:val="28"/>
              <w:lang w:val="zh-CN" w:eastAsia="zh-CN"/>
            </w:rPr>
            <w:t>成果所有权</w:t>
          </w:r>
          <w:r>
            <w:rPr>
              <w:color w:val="auto"/>
              <w:sz w:val="28"/>
              <w:szCs w:val="28"/>
            </w:rPr>
            <w:tab/>
          </w:r>
          <w:r>
            <w:rPr>
              <w:color w:val="auto"/>
              <w:sz w:val="28"/>
              <w:szCs w:val="28"/>
            </w:rPr>
            <w:fldChar w:fldCharType="begin"/>
          </w:r>
          <w:r>
            <w:rPr>
              <w:color w:val="auto"/>
              <w:sz w:val="28"/>
              <w:szCs w:val="28"/>
            </w:rPr>
            <w:instrText xml:space="preserve"> PAGEREF _Toc5583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_Toc29233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十二、</w:t>
          </w:r>
          <w:r>
            <w:rPr>
              <w:rFonts w:hint="eastAsia" w:ascii="宋体" w:hAnsi="宋体"/>
              <w:bCs/>
              <w:color w:val="auto"/>
              <w:kern w:val="0"/>
              <w:sz w:val="28"/>
              <w:szCs w:val="28"/>
              <w:lang w:val="zh-CN" w:eastAsia="zh-CN"/>
            </w:rPr>
            <w:t>成果安全与保密</w:t>
          </w:r>
          <w:r>
            <w:rPr>
              <w:color w:val="auto"/>
              <w:sz w:val="28"/>
              <w:szCs w:val="28"/>
            </w:rPr>
            <w:tab/>
          </w:r>
          <w:r>
            <w:rPr>
              <w:color w:val="auto"/>
              <w:sz w:val="28"/>
              <w:szCs w:val="28"/>
            </w:rPr>
            <w:fldChar w:fldCharType="begin"/>
          </w:r>
          <w:r>
            <w:rPr>
              <w:color w:val="auto"/>
              <w:sz w:val="28"/>
              <w:szCs w:val="28"/>
            </w:rPr>
            <w:instrText xml:space="preserve"> PAGEREF _Toc29233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color w:val="auto"/>
              <w:kern w:val="0"/>
              <w:sz w:val="28"/>
              <w:szCs w:val="28"/>
              <w:lang w:eastAsia="zh-CN"/>
            </w:rP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color w:val="auto"/>
              <w:sz w:val="28"/>
              <w:szCs w:val="28"/>
            </w:rPr>
          </w:pPr>
          <w:r>
            <w:rPr>
              <w:rFonts w:hint="eastAsia" w:ascii="宋体" w:hAnsi="宋体"/>
              <w:color w:val="auto"/>
              <w:kern w:val="0"/>
              <w:sz w:val="28"/>
              <w:szCs w:val="28"/>
              <w:lang w:eastAsia="zh-CN"/>
            </w:rPr>
            <w:fldChar w:fldCharType="begin"/>
          </w:r>
          <w:r>
            <w:rPr>
              <w:rFonts w:hint="eastAsia" w:ascii="宋体" w:hAnsi="宋体"/>
              <w:color w:val="auto"/>
              <w:kern w:val="0"/>
              <w:sz w:val="28"/>
              <w:szCs w:val="28"/>
              <w:lang w:eastAsia="zh-CN"/>
            </w:rPr>
            <w:instrText xml:space="preserve"> HYPERLINK \l _Toc3501 </w:instrText>
          </w:r>
          <w:r>
            <w:rPr>
              <w:rFonts w:hint="eastAsia" w:ascii="宋体" w:hAnsi="宋体"/>
              <w:color w:val="auto"/>
              <w:kern w:val="0"/>
              <w:sz w:val="28"/>
              <w:szCs w:val="28"/>
              <w:lang w:eastAsia="zh-CN"/>
            </w:rPr>
            <w:fldChar w:fldCharType="separate"/>
          </w:r>
          <w:r>
            <w:rPr>
              <w:rFonts w:hint="eastAsia" w:ascii="宋体" w:hAnsi="宋体" w:eastAsia="宋体" w:cs="Times New Roman"/>
              <w:bCs/>
              <w:color w:val="auto"/>
              <w:kern w:val="0"/>
              <w:sz w:val="28"/>
              <w:szCs w:val="28"/>
              <w:lang w:val="zh-CN" w:eastAsia="zh-CN"/>
            </w:rPr>
            <w:t>十三、</w:t>
          </w:r>
          <w:r>
            <w:rPr>
              <w:rFonts w:hint="eastAsia" w:ascii="宋体" w:hAnsi="宋体"/>
              <w:bCs/>
              <w:color w:val="auto"/>
              <w:kern w:val="0"/>
              <w:sz w:val="28"/>
              <w:szCs w:val="28"/>
              <w:lang w:val="zh-CN" w:eastAsia="zh-CN"/>
            </w:rPr>
            <w:t>违约责任</w:t>
          </w:r>
          <w:r>
            <w:rPr>
              <w:color w:val="auto"/>
              <w:sz w:val="28"/>
              <w:szCs w:val="28"/>
            </w:rPr>
            <w:tab/>
          </w:r>
          <w:r>
            <w:rPr>
              <w:color w:val="auto"/>
              <w:sz w:val="28"/>
              <w:szCs w:val="28"/>
            </w:rPr>
            <w:fldChar w:fldCharType="begin"/>
          </w:r>
          <w:r>
            <w:rPr>
              <w:color w:val="auto"/>
              <w:sz w:val="28"/>
              <w:szCs w:val="28"/>
            </w:rPr>
            <w:instrText xml:space="preserve"> PAGEREF _Toc3501 </w:instrText>
          </w:r>
          <w:r>
            <w:rPr>
              <w:color w:val="auto"/>
              <w:sz w:val="28"/>
              <w:szCs w:val="28"/>
            </w:rPr>
            <w:fldChar w:fldCharType="separate"/>
          </w:r>
          <w:r>
            <w:rPr>
              <w:color w:val="auto"/>
              <w:sz w:val="28"/>
              <w:szCs w:val="28"/>
            </w:rPr>
            <w:t>7</w:t>
          </w:r>
          <w:r>
            <w:rPr>
              <w:color w:val="auto"/>
              <w:sz w:val="28"/>
              <w:szCs w:val="28"/>
            </w:rPr>
            <w:fldChar w:fldCharType="end"/>
          </w:r>
          <w:r>
            <w:rPr>
              <w:rFonts w:hint="eastAsia" w:ascii="宋体" w:hAnsi="宋体"/>
              <w:color w:val="auto"/>
              <w:kern w:val="0"/>
              <w:sz w:val="28"/>
              <w:szCs w:val="28"/>
              <w:lang w:eastAsia="zh-CN"/>
            </w:rPr>
            <w:fldChar w:fldCharType="end"/>
          </w:r>
        </w:p>
        <w:p>
          <w:pPr>
            <w:keepNext w:val="0"/>
            <w:keepLines w:val="0"/>
            <w:pageBreakBefore w:val="0"/>
            <w:widowControl/>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b/>
              <w:color w:val="auto"/>
              <w:kern w:val="0"/>
              <w:sz w:val="28"/>
              <w:szCs w:val="28"/>
              <w:lang w:eastAsia="zh-CN"/>
            </w:rPr>
          </w:pPr>
          <w:r>
            <w:rPr>
              <w:rFonts w:hint="eastAsia" w:ascii="宋体" w:hAnsi="宋体"/>
              <w:color w:val="auto"/>
              <w:kern w:val="0"/>
              <w:sz w:val="28"/>
              <w:szCs w:val="28"/>
              <w:lang w:eastAsia="zh-CN"/>
            </w:rPr>
            <w:fldChar w:fldCharType="end"/>
          </w:r>
        </w:p>
      </w:sdtContent>
    </w:sdt>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pPr>
        <w:widowControl/>
        <w:spacing w:before="120" w:beforeLines="50" w:after="120" w:afterLines="50"/>
        <w:jc w:val="left"/>
        <w:rPr>
          <w:rFonts w:ascii="宋体" w:hAnsi="宋体"/>
          <w:b/>
          <w:color w:val="auto"/>
          <w:kern w:val="0"/>
          <w:sz w:val="24"/>
          <w:szCs w:val="24"/>
        </w:rPr>
      </w:pPr>
    </w:p>
    <w:p>
      <w:pPr>
        <w:widowControl/>
        <w:spacing w:before="120" w:beforeLines="50" w:after="120" w:afterLines="50"/>
        <w:jc w:val="left"/>
        <w:rPr>
          <w:rFonts w:ascii="宋体" w:hAnsi="宋体"/>
          <w:b/>
          <w:color w:val="auto"/>
          <w:kern w:val="0"/>
          <w:sz w:val="24"/>
          <w:szCs w:val="24"/>
        </w:rPr>
      </w:pPr>
      <w:r>
        <w:rPr>
          <w:rFonts w:ascii="宋体" w:hAnsi="宋体"/>
          <w:b/>
          <w:color w:val="auto"/>
          <w:kern w:val="0"/>
          <w:sz w:val="24"/>
          <w:szCs w:val="24"/>
        </w:rPr>
        <w:t>项目需求一览表：</w:t>
      </w:r>
      <w:bookmarkEnd w:id="0"/>
    </w:p>
    <w:tbl>
      <w:tblPr>
        <w:tblStyle w:val="5"/>
        <w:tblpPr w:leftFromText="180" w:rightFromText="180" w:vertAnchor="text" w:horzAnchor="page" w:tblpX="1631" w:tblpY="468"/>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108" w:type="dxa"/>
          <w:bottom w:w="0" w:type="dxa"/>
          <w:right w:w="108" w:type="dxa"/>
        </w:tblCellMar>
      </w:tblPr>
      <w:tblGrid>
        <w:gridCol w:w="3382"/>
        <w:gridCol w:w="1212"/>
        <w:gridCol w:w="213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108" w:type="dxa"/>
            <w:bottom w:w="0" w:type="dxa"/>
            <w:right w:w="108" w:type="dxa"/>
          </w:tblCellMar>
        </w:tblPrEx>
        <w:trPr>
          <w:cantSplit/>
          <w:trHeight w:val="607" w:hRule="atLeast"/>
        </w:trPr>
        <w:tc>
          <w:tcPr>
            <w:tcW w:w="3382" w:type="dxa"/>
            <w:shd w:val="clear" w:color="auto" w:fill="auto"/>
            <w:vAlign w:val="center"/>
          </w:tcPr>
          <w:p>
            <w:pPr>
              <w:keepLines w:val="0"/>
              <w:pageBreakBefore w:val="0"/>
              <w:widowControl/>
              <w:kinsoku/>
              <w:wordWrap/>
              <w:overflowPunct/>
              <w:topLinePunct w:val="0"/>
              <w:autoSpaceDE/>
              <w:autoSpaceDN/>
              <w:bidi w:val="0"/>
              <w:snapToGrid/>
              <w:jc w:val="center"/>
              <w:rPr>
                <w:rFonts w:ascii="宋体" w:hAnsi="宋体"/>
                <w:b/>
                <w:color w:val="auto"/>
                <w:kern w:val="0"/>
                <w:sz w:val="24"/>
                <w:szCs w:val="24"/>
              </w:rPr>
            </w:pPr>
            <w:r>
              <w:rPr>
                <w:rFonts w:ascii="宋体" w:hAnsi="宋体"/>
                <w:b/>
                <w:color w:val="auto"/>
                <w:kern w:val="0"/>
                <w:sz w:val="24"/>
                <w:szCs w:val="24"/>
              </w:rPr>
              <w:t>采购内容</w:t>
            </w:r>
          </w:p>
        </w:tc>
        <w:tc>
          <w:tcPr>
            <w:tcW w:w="1212" w:type="dxa"/>
            <w:shd w:val="clear" w:color="auto" w:fill="auto"/>
            <w:vAlign w:val="center"/>
          </w:tcPr>
          <w:p>
            <w:pPr>
              <w:keepLines w:val="0"/>
              <w:pageBreakBefore w:val="0"/>
              <w:widowControl/>
              <w:kinsoku/>
              <w:wordWrap/>
              <w:overflowPunct/>
              <w:topLinePunct w:val="0"/>
              <w:autoSpaceDE/>
              <w:autoSpaceDN/>
              <w:bidi w:val="0"/>
              <w:snapToGrid/>
              <w:jc w:val="center"/>
              <w:rPr>
                <w:rFonts w:hint="eastAsia" w:ascii="宋体" w:hAnsi="宋体" w:eastAsia="宋体"/>
                <w:b/>
                <w:color w:val="auto"/>
                <w:kern w:val="0"/>
                <w:sz w:val="24"/>
                <w:szCs w:val="24"/>
                <w:lang w:eastAsia="zh-CN"/>
              </w:rPr>
            </w:pPr>
            <w:r>
              <w:rPr>
                <w:rFonts w:hint="eastAsia" w:ascii="宋体" w:hAnsi="宋体"/>
                <w:b/>
                <w:color w:val="auto"/>
                <w:kern w:val="0"/>
                <w:sz w:val="24"/>
                <w:szCs w:val="24"/>
                <w:lang w:eastAsia="zh-CN"/>
              </w:rPr>
              <w:t>采购类型</w:t>
            </w:r>
          </w:p>
        </w:tc>
        <w:tc>
          <w:tcPr>
            <w:tcW w:w="2132" w:type="dxa"/>
            <w:shd w:val="clear" w:color="auto" w:fill="auto"/>
            <w:vAlign w:val="center"/>
          </w:tcPr>
          <w:p>
            <w:pPr>
              <w:keepLines w:val="0"/>
              <w:pageBreakBefore w:val="0"/>
              <w:widowControl/>
              <w:kinsoku/>
              <w:wordWrap/>
              <w:overflowPunct/>
              <w:topLinePunct w:val="0"/>
              <w:autoSpaceDE/>
              <w:autoSpaceDN/>
              <w:bidi w:val="0"/>
              <w:snapToGrid/>
              <w:jc w:val="center"/>
              <w:rPr>
                <w:rFonts w:hint="eastAsia" w:ascii="宋体" w:hAnsi="宋体" w:eastAsia="宋体"/>
                <w:b/>
                <w:color w:val="auto"/>
                <w:kern w:val="0"/>
                <w:sz w:val="24"/>
                <w:szCs w:val="24"/>
                <w:lang w:eastAsia="zh-CN"/>
              </w:rPr>
            </w:pPr>
            <w:r>
              <w:rPr>
                <w:rFonts w:hint="eastAsia" w:ascii="宋体" w:hAnsi="宋体"/>
                <w:b/>
                <w:color w:val="auto"/>
                <w:kern w:val="0"/>
                <w:sz w:val="24"/>
                <w:szCs w:val="24"/>
                <w:lang w:eastAsia="zh-CN"/>
              </w:rPr>
              <w:t>服务期限</w:t>
            </w:r>
          </w:p>
        </w:tc>
        <w:tc>
          <w:tcPr>
            <w:tcW w:w="1793" w:type="dxa"/>
            <w:shd w:val="clear" w:color="auto" w:fill="auto"/>
            <w:vAlign w:val="center"/>
          </w:tcPr>
          <w:p>
            <w:pPr>
              <w:keepLines w:val="0"/>
              <w:pageBreakBefore w:val="0"/>
              <w:widowControl/>
              <w:kinsoku/>
              <w:wordWrap/>
              <w:overflowPunct/>
              <w:topLinePunct w:val="0"/>
              <w:autoSpaceDE/>
              <w:autoSpaceDN/>
              <w:bidi w:val="0"/>
              <w:snapToGrid/>
              <w:jc w:val="center"/>
              <w:rPr>
                <w:rFonts w:ascii="宋体" w:hAnsi="宋体"/>
                <w:b/>
                <w:color w:val="auto"/>
                <w:kern w:val="0"/>
                <w:sz w:val="24"/>
                <w:szCs w:val="24"/>
              </w:rPr>
            </w:pPr>
            <w:r>
              <w:rPr>
                <w:rFonts w:ascii="宋体" w:hAnsi="宋体"/>
                <w:b/>
                <w:color w:val="auto"/>
                <w:kern w:val="0"/>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trPr>
        <w:tc>
          <w:tcPr>
            <w:tcW w:w="3382" w:type="dxa"/>
            <w:shd w:val="clear" w:color="auto" w:fill="auto"/>
            <w:vAlign w:val="center"/>
          </w:tcPr>
          <w:p>
            <w:pPr>
              <w:keepLines w:val="0"/>
              <w:pageBreakBefore w:val="0"/>
              <w:widowControl/>
              <w:kinsoku/>
              <w:wordWrap/>
              <w:overflowPunct/>
              <w:topLinePunct w:val="0"/>
              <w:autoSpaceDE/>
              <w:autoSpaceDN/>
              <w:bidi w:val="0"/>
              <w:snapToGrid/>
              <w:jc w:val="center"/>
              <w:rPr>
                <w:rFonts w:hint="eastAsia" w:ascii="宋体" w:hAnsi="宋体" w:eastAsia="宋体"/>
                <w:bCs/>
                <w:color w:val="auto"/>
                <w:kern w:val="0"/>
                <w:sz w:val="24"/>
                <w:szCs w:val="24"/>
                <w:lang w:eastAsia="zh-CN"/>
              </w:rPr>
            </w:pPr>
            <w:r>
              <w:rPr>
                <w:rFonts w:hint="eastAsia" w:ascii="宋体" w:hAnsi="宋体"/>
                <w:color w:val="auto"/>
                <w:kern w:val="28"/>
                <w:sz w:val="24"/>
                <w:szCs w:val="24"/>
              </w:rPr>
              <w:t>城维计划-广州市边坡危岩体调查评价与防治规划应对策略</w:t>
            </w:r>
          </w:p>
        </w:tc>
        <w:tc>
          <w:tcPr>
            <w:tcW w:w="1212" w:type="dxa"/>
            <w:shd w:val="clear" w:color="auto" w:fill="auto"/>
            <w:vAlign w:val="center"/>
          </w:tcPr>
          <w:p>
            <w:pPr>
              <w:keepNext/>
              <w:keepLines w:val="0"/>
              <w:pageBreakBefore w:val="0"/>
              <w:kinsoku/>
              <w:wordWrap/>
              <w:overflowPunct/>
              <w:topLinePunct w:val="0"/>
              <w:autoSpaceDE/>
              <w:autoSpaceDN/>
              <w:bidi w:val="0"/>
              <w:adjustRightInd w:val="0"/>
              <w:snapToGrid/>
              <w:ind w:firstLine="12"/>
              <w:jc w:val="center"/>
              <w:textAlignment w:val="center"/>
              <w:rPr>
                <w:rFonts w:hint="eastAsia" w:ascii="宋体" w:hAnsi="宋体" w:eastAsia="宋体"/>
                <w:color w:val="auto"/>
                <w:spacing w:val="0"/>
                <w:kern w:val="28"/>
                <w:sz w:val="24"/>
                <w:szCs w:val="24"/>
                <w:lang w:eastAsia="zh-CN"/>
              </w:rPr>
            </w:pPr>
            <w:r>
              <w:rPr>
                <w:rFonts w:hint="eastAsia" w:ascii="宋体" w:hAnsi="宋体"/>
                <w:color w:val="auto"/>
                <w:spacing w:val="0"/>
                <w:kern w:val="28"/>
                <w:sz w:val="24"/>
                <w:szCs w:val="24"/>
                <w:lang w:eastAsia="zh-CN"/>
              </w:rPr>
              <w:t>技术服务</w:t>
            </w:r>
          </w:p>
        </w:tc>
        <w:tc>
          <w:tcPr>
            <w:tcW w:w="2132" w:type="dxa"/>
            <w:shd w:val="clear" w:color="auto" w:fill="auto"/>
            <w:vAlign w:val="center"/>
          </w:tcPr>
          <w:p>
            <w:pPr>
              <w:keepNext/>
              <w:keepLines w:val="0"/>
              <w:pageBreakBefore w:val="0"/>
              <w:kinsoku/>
              <w:wordWrap/>
              <w:overflowPunct/>
              <w:topLinePunct w:val="0"/>
              <w:autoSpaceDE/>
              <w:autoSpaceDN/>
              <w:bidi w:val="0"/>
              <w:adjustRightInd w:val="0"/>
              <w:snapToGrid/>
              <w:ind w:firstLine="12"/>
              <w:jc w:val="left"/>
              <w:textAlignment w:val="center"/>
              <w:rPr>
                <w:rFonts w:ascii="宋体" w:hAnsi="宋体"/>
                <w:color w:val="auto"/>
                <w:sz w:val="24"/>
                <w:szCs w:val="24"/>
              </w:rPr>
            </w:pPr>
            <w:r>
              <w:rPr>
                <w:rFonts w:ascii="宋体" w:hAnsi="宋体"/>
                <w:color w:val="auto"/>
                <w:spacing w:val="0"/>
                <w:kern w:val="28"/>
                <w:sz w:val="24"/>
                <w:szCs w:val="24"/>
              </w:rPr>
              <w:t>从签订合同日至20</w:t>
            </w:r>
            <w:r>
              <w:rPr>
                <w:rFonts w:hint="eastAsia" w:ascii="宋体" w:hAnsi="宋体"/>
                <w:color w:val="auto"/>
                <w:spacing w:val="0"/>
                <w:kern w:val="28"/>
                <w:sz w:val="24"/>
                <w:szCs w:val="24"/>
                <w:lang w:val="en-US" w:eastAsia="zh-CN"/>
              </w:rPr>
              <w:t>21</w:t>
            </w:r>
            <w:r>
              <w:rPr>
                <w:rFonts w:ascii="宋体" w:hAnsi="宋体"/>
                <w:color w:val="auto"/>
                <w:spacing w:val="0"/>
                <w:kern w:val="28"/>
                <w:sz w:val="24"/>
                <w:szCs w:val="24"/>
              </w:rPr>
              <w:t>年</w:t>
            </w:r>
            <w:r>
              <w:rPr>
                <w:rFonts w:hint="eastAsia" w:ascii="宋体" w:hAnsi="宋体"/>
                <w:color w:val="auto"/>
                <w:spacing w:val="0"/>
                <w:kern w:val="28"/>
                <w:sz w:val="24"/>
                <w:szCs w:val="24"/>
                <w:lang w:val="en-US" w:eastAsia="zh-CN"/>
              </w:rPr>
              <w:t>12</w:t>
            </w:r>
            <w:r>
              <w:rPr>
                <w:rFonts w:ascii="宋体" w:hAnsi="宋体"/>
                <w:color w:val="auto"/>
                <w:spacing w:val="0"/>
                <w:kern w:val="28"/>
                <w:sz w:val="24"/>
                <w:szCs w:val="24"/>
              </w:rPr>
              <w:t>月31日</w:t>
            </w:r>
          </w:p>
        </w:tc>
        <w:tc>
          <w:tcPr>
            <w:tcW w:w="1793" w:type="dxa"/>
            <w:shd w:val="clear" w:color="auto" w:fill="auto"/>
            <w:vAlign w:val="center"/>
          </w:tcPr>
          <w:p>
            <w:pPr>
              <w:keepNext/>
              <w:keepLines w:val="0"/>
              <w:pageBreakBefore w:val="0"/>
              <w:kinsoku/>
              <w:wordWrap/>
              <w:overflowPunct/>
              <w:topLinePunct w:val="0"/>
              <w:autoSpaceDE/>
              <w:autoSpaceDN/>
              <w:bidi w:val="0"/>
              <w:adjustRightInd w:val="0"/>
              <w:snapToGrid/>
              <w:ind w:firstLine="120"/>
              <w:jc w:val="center"/>
              <w:textAlignment w:val="center"/>
              <w:rPr>
                <w:rFonts w:ascii="宋体" w:hAnsi="宋体"/>
                <w:color w:val="auto"/>
                <w:sz w:val="24"/>
                <w:szCs w:val="24"/>
              </w:rPr>
            </w:pPr>
            <w:r>
              <w:rPr>
                <w:rFonts w:ascii="宋体" w:hAnsi="宋体"/>
                <w:color w:val="auto"/>
                <w:sz w:val="24"/>
                <w:szCs w:val="24"/>
              </w:rPr>
              <w:t>人民币</w:t>
            </w:r>
            <w:r>
              <w:rPr>
                <w:rFonts w:hint="eastAsia" w:ascii="宋体" w:hAnsi="宋体"/>
                <w:color w:val="auto"/>
                <w:sz w:val="24"/>
                <w:szCs w:val="24"/>
              </w:rPr>
              <w:t>壹仟捌佰壹拾万元整</w:t>
            </w:r>
          </w:p>
        </w:tc>
      </w:tr>
    </w:tbl>
    <w:p>
      <w:pPr>
        <w:keepNext/>
        <w:keepLines/>
        <w:widowControl/>
        <w:numPr>
          <w:ilvl w:val="0"/>
          <w:numId w:val="1"/>
        </w:numPr>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1" w:name="_Toc12880"/>
      <w:bookmarkStart w:id="2" w:name="_Toc463969433"/>
      <w:bookmarkStart w:id="3" w:name="_Toc507426176"/>
      <w:bookmarkStart w:id="4" w:name="_Toc463969158"/>
      <w:bookmarkStart w:id="5" w:name="_Toc476140371"/>
      <w:bookmarkStart w:id="6" w:name="_Toc536713459"/>
      <w:r>
        <w:rPr>
          <w:rFonts w:hint="eastAsia" w:ascii="宋体" w:hAnsi="宋体"/>
          <w:b/>
          <w:bCs/>
          <w:color w:val="auto"/>
          <w:kern w:val="0"/>
          <w:sz w:val="30"/>
          <w:szCs w:val="30"/>
          <w:lang w:val="zh-CN" w:eastAsia="zh-CN"/>
        </w:rPr>
        <w:t>项目背景</w:t>
      </w:r>
      <w:bookmarkEnd w:id="1"/>
      <w:bookmarkEnd w:id="2"/>
      <w:bookmarkEnd w:id="3"/>
      <w:bookmarkEnd w:id="4"/>
      <w:bookmarkEnd w:id="5"/>
      <w:bookmarkEnd w:id="6"/>
    </w:p>
    <w:p>
      <w:pPr>
        <w:spacing w:line="360" w:lineRule="auto"/>
        <w:ind w:firstLine="480" w:firstLineChars="200"/>
        <w:rPr>
          <w:rFonts w:hint="eastAsia" w:ascii="宋体" w:hAnsi="宋体"/>
          <w:bCs/>
          <w:color w:val="auto"/>
          <w:sz w:val="24"/>
          <w:szCs w:val="20"/>
          <w:lang w:val="zh-CN" w:eastAsia="zh-CN"/>
        </w:rPr>
      </w:pPr>
      <w:bookmarkStart w:id="7" w:name="_Toc357906187"/>
      <w:bookmarkStart w:id="8" w:name="_Toc476140372"/>
      <w:bookmarkStart w:id="9" w:name="_Toc463969159"/>
      <w:bookmarkStart w:id="10" w:name="_Toc463969434"/>
      <w:r>
        <w:rPr>
          <w:rFonts w:hint="eastAsia" w:ascii="宋体" w:hAnsi="宋体"/>
          <w:bCs/>
          <w:color w:val="auto"/>
          <w:sz w:val="24"/>
          <w:szCs w:val="20"/>
          <w:lang w:val="zh-CN" w:eastAsia="zh-CN"/>
        </w:rPr>
        <w:t>危岩体是指陡峭边坡上被多组结构面切割，在重力、风化营力、地震、渗透压力等作用下与母体逐步分离，稳定性较差的岩体，本文所指危岩体主要包括岩质不稳定边坡和孤石两大类。当危岩体与母体分离之后将会形成滚石，在重力等作用下，产生巨大的冲击破坏力，轻则影响生产生活，重则造成人员伤亡。</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广州市地处粤中山地与三角洲平原过渡区，区内中部及北部分布有连片山脉，地形起伏，山地面积大边线长，岩石多为花岗岩与变质岩，山体陡峭，孤石发育；广从断裂、沙湾断裂斜跨全市的大部分区域，地质构造发育，地质环境条件复杂，且广州市暴雨台风等极端天气多发，雨水充沛，雨季长，降雨强度大，每年汛期崩塌、滑坡等突发地质灾害多发频发，对城市建设和安全运营造成了严重影响。近年来，随着城市建设外拓、内扩发展，更多的山区边上用地得以开发建设，广州市边坡危岩体崩塌地质灾害问题日渐突出，近年来各区发生多起危岩体崩落地质灾害，虽为造成人员伤亡，但造成了严重的经济损失和社会影响，安全隐患极大。</w:t>
      </w:r>
    </w:p>
    <w:p>
      <w:pPr>
        <w:keepNext/>
        <w:keepLines/>
        <w:widowControl/>
        <w:numPr>
          <w:ilvl w:val="0"/>
          <w:numId w:val="1"/>
        </w:numPr>
        <w:spacing w:before="312" w:beforeLines="100" w:line="413" w:lineRule="auto"/>
        <w:ind w:left="420" w:leftChars="0" w:hanging="420" w:firstLineChars="0"/>
        <w:jc w:val="left"/>
        <w:outlineLvl w:val="0"/>
        <w:rPr>
          <w:rFonts w:hint="eastAsia" w:ascii="宋体" w:hAnsi="宋体"/>
          <w:b/>
          <w:bCs/>
          <w:color w:val="auto"/>
          <w:kern w:val="0"/>
          <w:sz w:val="30"/>
          <w:szCs w:val="30"/>
          <w:lang w:val="zh-CN" w:eastAsia="zh-CN"/>
        </w:rPr>
      </w:pPr>
      <w:bookmarkStart w:id="11" w:name="_Toc20649"/>
      <w:r>
        <w:rPr>
          <w:rFonts w:hint="eastAsia" w:ascii="宋体" w:hAnsi="宋体"/>
          <w:b/>
          <w:bCs/>
          <w:color w:val="auto"/>
          <w:kern w:val="0"/>
          <w:sz w:val="30"/>
          <w:szCs w:val="30"/>
          <w:lang w:val="zh-CN" w:eastAsia="zh-CN"/>
        </w:rPr>
        <w:t>项目目标</w:t>
      </w:r>
      <w:bookmarkEnd w:id="11"/>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为深入贯彻习近平总书记“两个坚持、三个转变”防灾减灾救灾指导思想，按照《地质灾害防治条例》（国务院令第394号）、《国务院关于加强地质灾害防治工作的决定》（国发〔2011〕20号）、《广东省地质环境管理条例》（广东省第十届人大常务委员会公告第14号）关于保障地质灾害调查、预防和治理经费的要求，根据《全国国土规划纲要（2016-2030年）》（国发〔2017〕3号）、《广东省城市地质工作实施方案（2018-2025年）》、《广州市地质灾害防治“十三五”规划》、《自然资源部办公厅关于做好主汛期地质灾害防范工作的紧急通知》（自然资电发〔2019〕34号）、《广东省防汛防旱防风总指挥部办公室 广东省应急管理厅 广东省自然资源厅 关于进一步做好地质灾害风险排查整治专项行动的通知》（粤防办〔2019〕13号）等一系列文件关于全面、深入、常态化开展地质灾害风险隐患排查、调查评价工作，摸清地质灾害风险隐患底数，针对性落实防范整治措施的要求，由此我局计划于2020～2021年开展《城维计划-广州市边坡危岩体调查评价与防治规划应对策略》项目，对受危岩体威胁较大的黄埔、天河、番禺、南沙、白云五区的边坡危岩体开展调查评价与防治规划应对策略研究，提前防治，保障城市建设和安全运营，减少人民生命财产损失。</w:t>
      </w:r>
    </w:p>
    <w:bookmarkEnd w:id="7"/>
    <w:bookmarkEnd w:id="8"/>
    <w:bookmarkEnd w:id="9"/>
    <w:bookmarkEnd w:id="10"/>
    <w:p>
      <w:pPr>
        <w:keepNext/>
        <w:keepLines/>
        <w:widowControl/>
        <w:numPr>
          <w:ilvl w:val="0"/>
          <w:numId w:val="1"/>
        </w:numPr>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12" w:name="_Toc507426177"/>
      <w:bookmarkStart w:id="13" w:name="_Toc536713460"/>
      <w:bookmarkStart w:id="14" w:name="_Toc20658"/>
      <w:r>
        <w:rPr>
          <w:rFonts w:hint="eastAsia" w:ascii="宋体" w:hAnsi="宋体"/>
          <w:b/>
          <w:bCs/>
          <w:color w:val="auto"/>
          <w:kern w:val="0"/>
          <w:sz w:val="30"/>
          <w:szCs w:val="30"/>
          <w:lang w:val="zh-CN" w:eastAsia="zh-CN"/>
        </w:rPr>
        <w:t>工作内容</w:t>
      </w:r>
      <w:bookmarkEnd w:id="12"/>
      <w:bookmarkEnd w:id="13"/>
      <w:bookmarkEnd w:id="14"/>
    </w:p>
    <w:p>
      <w:pPr>
        <w:spacing w:line="360" w:lineRule="auto"/>
        <w:ind w:firstLine="480" w:firstLineChars="200"/>
        <w:rPr>
          <w:rFonts w:ascii="宋体" w:hAnsi="宋体"/>
          <w:bCs/>
          <w:color w:val="auto"/>
          <w:sz w:val="24"/>
          <w:szCs w:val="20"/>
          <w:lang w:val="zh-CN" w:eastAsia="zh-CN"/>
        </w:rPr>
      </w:pPr>
      <w:r>
        <w:rPr>
          <w:rFonts w:hint="eastAsia" w:ascii="宋体" w:hAnsi="宋体"/>
          <w:bCs/>
          <w:color w:val="auto"/>
          <w:sz w:val="24"/>
          <w:szCs w:val="20"/>
          <w:lang w:val="zh-CN" w:eastAsia="zh-CN"/>
        </w:rPr>
        <w:t>1</w:t>
      </w:r>
      <w:r>
        <w:rPr>
          <w:rFonts w:hint="eastAsia" w:ascii="宋体" w:hAnsi="宋体"/>
          <w:bCs/>
          <w:color w:val="auto"/>
          <w:sz w:val="24"/>
          <w:szCs w:val="20"/>
          <w:lang w:val="zh-CN"/>
        </w:rPr>
        <w:t>．</w:t>
      </w:r>
      <w:r>
        <w:rPr>
          <w:rFonts w:hint="eastAsia" w:ascii="宋体" w:hAnsi="宋体"/>
          <w:bCs/>
          <w:color w:val="auto"/>
          <w:sz w:val="24"/>
          <w:szCs w:val="20"/>
          <w:lang w:val="zh-CN" w:eastAsia="zh-CN"/>
        </w:rPr>
        <w:t>开展边坡危岩体崩落灾害的调查评价</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（1）</w:t>
      </w:r>
      <w:r>
        <w:rPr>
          <w:rFonts w:hint="eastAsia" w:ascii="宋体" w:hAnsi="宋体"/>
          <w:bCs/>
          <w:color w:val="auto"/>
          <w:sz w:val="24"/>
          <w:szCs w:val="20"/>
          <w:lang w:val="zh-CN"/>
        </w:rPr>
        <w:t>充分利用新技术、新手段</w:t>
      </w:r>
      <w:r>
        <w:rPr>
          <w:rFonts w:hint="eastAsia" w:ascii="宋体" w:hAnsi="宋体"/>
          <w:bCs/>
          <w:color w:val="auto"/>
          <w:sz w:val="24"/>
          <w:szCs w:val="20"/>
          <w:lang w:val="zh-CN" w:eastAsia="zh-CN"/>
        </w:rPr>
        <w:t>开展黄埔区、天河区、番禺区、白云区、南沙区五个区（总地表投影面积约</w:t>
      </w:r>
      <w:r>
        <w:rPr>
          <w:rFonts w:hint="eastAsia" w:ascii="宋体" w:hAnsi="宋体"/>
          <w:bCs/>
          <w:color w:val="auto"/>
          <w:sz w:val="24"/>
          <w:szCs w:val="20"/>
          <w:lang w:val="en-US" w:eastAsia="zh-CN"/>
        </w:rPr>
        <w:t>2600平方公里</w:t>
      </w:r>
      <w:r>
        <w:rPr>
          <w:rFonts w:hint="eastAsia" w:ascii="宋体" w:hAnsi="宋体"/>
          <w:bCs/>
          <w:color w:val="auto"/>
          <w:sz w:val="24"/>
          <w:szCs w:val="20"/>
          <w:lang w:val="zh-CN" w:eastAsia="zh-CN"/>
        </w:rPr>
        <w:t>）边坡危岩体崩落灾害的地质背景、分布特征、个体特征、灾情历史、危害对象、危害范围等专项调查工作；</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w:t>
      </w:r>
      <w:r>
        <w:rPr>
          <w:rFonts w:hint="eastAsia" w:ascii="宋体" w:hAnsi="宋体"/>
          <w:bCs/>
          <w:color w:val="auto"/>
          <w:sz w:val="24"/>
          <w:szCs w:val="20"/>
          <w:lang w:val="en-US" w:eastAsia="zh-CN"/>
        </w:rPr>
        <w:t>2</w:t>
      </w:r>
      <w:r>
        <w:rPr>
          <w:rFonts w:hint="eastAsia" w:ascii="宋体" w:hAnsi="宋体"/>
          <w:bCs/>
          <w:color w:val="auto"/>
          <w:sz w:val="24"/>
          <w:szCs w:val="20"/>
          <w:lang w:val="zh-CN" w:eastAsia="zh-CN"/>
        </w:rPr>
        <w:t>）针对调查成果分析总结危岩体类型，计算和分析边坡危岩体稳定性，划分边坡危岩体崩落灾害风险等级，结合危害对象和危害范围等因素分工况（自然工况、暴雨工况、地震工况等）综合评价其危险性；</w:t>
      </w:r>
    </w:p>
    <w:p>
      <w:p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2. 制定</w:t>
      </w:r>
      <w:r>
        <w:rPr>
          <w:rFonts w:hint="eastAsia" w:ascii="宋体" w:hAnsi="宋体"/>
          <w:bCs/>
          <w:color w:val="auto"/>
          <w:sz w:val="24"/>
          <w:szCs w:val="20"/>
          <w:lang w:val="zh-CN" w:eastAsia="zh-CN"/>
        </w:rPr>
        <w:t>边坡</w:t>
      </w:r>
      <w:r>
        <w:rPr>
          <w:rFonts w:hint="eastAsia" w:ascii="宋体" w:hAnsi="宋体"/>
          <w:bCs/>
          <w:color w:val="auto"/>
          <w:sz w:val="24"/>
          <w:szCs w:val="20"/>
          <w:lang w:val="en-US" w:eastAsia="zh-CN"/>
        </w:rPr>
        <w:t>危岩体崩落灾害风险点防治与应对策略</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针对各边坡危岩体</w:t>
      </w:r>
      <w:r>
        <w:rPr>
          <w:rFonts w:hint="eastAsia" w:ascii="宋体" w:hAnsi="宋体"/>
          <w:bCs/>
          <w:color w:val="auto"/>
          <w:sz w:val="24"/>
          <w:szCs w:val="20"/>
          <w:lang w:val="en-US" w:eastAsia="zh-CN"/>
        </w:rPr>
        <w:t>崩落灾害</w:t>
      </w:r>
      <w:r>
        <w:rPr>
          <w:rFonts w:hint="eastAsia" w:ascii="宋体" w:hAnsi="宋体"/>
          <w:bCs/>
          <w:color w:val="auto"/>
          <w:sz w:val="24"/>
          <w:szCs w:val="20"/>
          <w:lang w:val="zh-CN" w:eastAsia="zh-CN"/>
        </w:rPr>
        <w:t>风险点提出针对性、合理、经济、可行的专项防治措施与应对策略，必要时须编制初步治理方案，并估算整治费用，为后续细化治理提供技术支撑。</w:t>
      </w:r>
    </w:p>
    <w:p>
      <w:pPr>
        <w:numPr>
          <w:ilvl w:val="0"/>
          <w:numId w:val="2"/>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建立</w:t>
      </w:r>
      <w:r>
        <w:rPr>
          <w:rFonts w:hint="eastAsia" w:ascii="宋体" w:hAnsi="宋体"/>
          <w:bCs/>
          <w:color w:val="auto"/>
          <w:sz w:val="24"/>
          <w:szCs w:val="20"/>
          <w:lang w:val="zh-CN" w:eastAsia="zh-CN"/>
        </w:rPr>
        <w:t>边坡</w:t>
      </w:r>
      <w:r>
        <w:rPr>
          <w:rFonts w:hint="eastAsia" w:ascii="宋体" w:hAnsi="宋体"/>
          <w:bCs/>
          <w:color w:val="auto"/>
          <w:sz w:val="24"/>
          <w:szCs w:val="20"/>
          <w:lang w:val="en-US" w:eastAsia="zh-CN"/>
        </w:rPr>
        <w:t>危岩体调查评价成果信息数据库</w:t>
      </w:r>
    </w:p>
    <w:p>
      <w:pPr>
        <w:spacing w:line="360" w:lineRule="auto"/>
        <w:ind w:firstLine="480" w:firstLineChars="200"/>
        <w:rPr>
          <w:rFonts w:hint="eastAsia" w:ascii="宋体" w:hAnsi="宋体"/>
          <w:bCs/>
          <w:color w:val="auto"/>
          <w:sz w:val="24"/>
          <w:szCs w:val="20"/>
          <w:lang w:val="en-US" w:eastAsia="zh-CN"/>
        </w:rPr>
      </w:pPr>
      <w:r>
        <w:rPr>
          <w:rFonts w:hint="eastAsia" w:ascii="宋体" w:hAnsi="宋体"/>
          <w:bCs/>
          <w:color w:val="auto"/>
          <w:sz w:val="24"/>
          <w:szCs w:val="20"/>
          <w:lang w:val="en-US" w:eastAsia="zh-CN"/>
        </w:rPr>
        <w:t>建立黄埔区、天河区、番禺区、白云区、南沙区五个区边坡危岩体崩落灾情调查评价成果数据库，数据库内容包括但不限于：各区危岩体风险点分布情况、类型、级别、威胁人数、威胁对象、治理方案、治理费用等信息，助力我局实现对边坡危岩体崩落风险点有效统一的进行分级分类数字化管理。</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15" w:name="_Toc2889"/>
      <w:bookmarkEnd w:id="15"/>
      <w:bookmarkStart w:id="16" w:name="_Toc328382565"/>
      <w:bookmarkEnd w:id="16"/>
      <w:bookmarkStart w:id="17" w:name="_Toc13787"/>
      <w:bookmarkEnd w:id="17"/>
      <w:bookmarkStart w:id="18" w:name="_Toc1961"/>
      <w:bookmarkEnd w:id="18"/>
      <w:bookmarkStart w:id="19" w:name="_Toc31725"/>
      <w:bookmarkEnd w:id="19"/>
      <w:bookmarkStart w:id="20" w:name="_Toc507426178"/>
      <w:bookmarkStart w:id="21" w:name="_Toc32713"/>
      <w:bookmarkStart w:id="22" w:name="_Toc536713461"/>
      <w:bookmarkStart w:id="23" w:name="_Toc463969163"/>
      <w:bookmarkStart w:id="24" w:name="_Toc476140376"/>
      <w:bookmarkStart w:id="25" w:name="_Toc463969438"/>
      <w:r>
        <w:rPr>
          <w:rFonts w:hint="eastAsia" w:ascii="宋体" w:hAnsi="宋体"/>
          <w:b/>
          <w:bCs/>
          <w:color w:val="auto"/>
          <w:kern w:val="0"/>
          <w:sz w:val="30"/>
          <w:szCs w:val="30"/>
          <w:lang w:val="zh-CN" w:eastAsia="zh-CN"/>
        </w:rPr>
        <w:t>工作要求</w:t>
      </w:r>
      <w:bookmarkEnd w:id="20"/>
      <w:bookmarkEnd w:id="21"/>
      <w:bookmarkEnd w:id="22"/>
    </w:p>
    <w:p>
      <w:pPr>
        <w:spacing w:line="360" w:lineRule="auto"/>
        <w:ind w:firstLine="480" w:firstLineChars="200"/>
        <w:rPr>
          <w:rFonts w:hint="eastAsia" w:ascii="宋体" w:hAnsi="宋体"/>
          <w:bCs/>
          <w:color w:val="auto"/>
          <w:sz w:val="24"/>
          <w:szCs w:val="20"/>
          <w:lang w:val="zh-CN" w:eastAsia="zh-CN"/>
        </w:rPr>
      </w:pPr>
      <w:bookmarkStart w:id="26" w:name="_Toc222561961"/>
      <w:bookmarkStart w:id="27" w:name="_Toc227390723"/>
      <w:bookmarkStart w:id="28" w:name="_Toc309831554"/>
      <w:r>
        <w:rPr>
          <w:rFonts w:hint="eastAsia" w:ascii="宋体" w:hAnsi="宋体"/>
          <w:bCs/>
          <w:color w:val="auto"/>
          <w:sz w:val="24"/>
          <w:szCs w:val="20"/>
          <w:lang w:val="zh-CN" w:eastAsia="zh-CN"/>
        </w:rPr>
        <w:t>以地球系统科学理论为指导，以城市建设与管理所面临的日益多发的边坡危岩体崩落灾害威胁问题作为导向，以保障人民群众生命财产安全与维护社会稳定和谐为目的部署开展工作。综合利用多学科（工程地质、水文地质、地理信息、物化遥等）方法，采用多种技术（地质测绘、遥感解译、激光扫描、实验测试、大数据统计、数据库应用等）手段，遵循“调查-评价-防治</w:t>
      </w:r>
      <w:r>
        <w:rPr>
          <w:rFonts w:hint="eastAsia" w:ascii="宋体" w:hAnsi="宋体"/>
          <w:bCs/>
          <w:color w:val="auto"/>
          <w:sz w:val="24"/>
          <w:szCs w:val="20"/>
          <w:lang w:val="en-US" w:eastAsia="zh-CN"/>
        </w:rPr>
        <w:t>-管理</w:t>
      </w:r>
      <w:r>
        <w:rPr>
          <w:rFonts w:hint="eastAsia" w:ascii="宋体" w:hAnsi="宋体"/>
          <w:bCs/>
          <w:color w:val="auto"/>
          <w:sz w:val="24"/>
          <w:szCs w:val="20"/>
          <w:lang w:val="zh-CN" w:eastAsia="zh-CN"/>
        </w:rPr>
        <w:t>”为主线，全面完成本项目，项目主要要求如下：</w:t>
      </w:r>
    </w:p>
    <w:p>
      <w:pPr>
        <w:numPr>
          <w:ilvl w:val="0"/>
          <w:numId w:val="3"/>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背景资料须详细丰富</w:t>
      </w:r>
    </w:p>
    <w:p>
      <w:pPr>
        <w:spacing w:line="360" w:lineRule="auto"/>
        <w:ind w:firstLine="480" w:firstLineChars="200"/>
        <w:rPr>
          <w:rFonts w:hint="eastAsia" w:ascii="宋体" w:hAnsi="宋体"/>
          <w:bCs/>
          <w:color w:val="auto"/>
          <w:sz w:val="24"/>
          <w:szCs w:val="20"/>
          <w:lang w:val="en-US" w:eastAsia="zh-CN"/>
        </w:rPr>
      </w:pPr>
      <w:r>
        <w:rPr>
          <w:rFonts w:hint="eastAsia" w:ascii="宋体" w:hAnsi="宋体"/>
          <w:bCs/>
          <w:color w:val="auto"/>
          <w:sz w:val="24"/>
          <w:szCs w:val="20"/>
          <w:lang w:val="en-US" w:eastAsia="zh-CN"/>
        </w:rPr>
        <w:t>项目开展须基于详细的背景资料，以确保调查与评价成果的科学性与准确性，其中应包含但不限于以下资料：</w:t>
      </w:r>
    </w:p>
    <w:p>
      <w:pPr>
        <w:numPr>
          <w:ilvl w:val="0"/>
          <w:numId w:val="4"/>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边坡</w:t>
      </w:r>
      <w:r>
        <w:rPr>
          <w:rFonts w:hint="default" w:ascii="宋体" w:hAnsi="宋体"/>
          <w:bCs/>
          <w:color w:val="auto"/>
          <w:sz w:val="24"/>
          <w:szCs w:val="20"/>
          <w:lang w:val="en-US" w:eastAsia="zh-CN"/>
        </w:rPr>
        <w:t>危岩体</w:t>
      </w:r>
      <w:r>
        <w:rPr>
          <w:rFonts w:hint="eastAsia" w:ascii="宋体" w:hAnsi="宋体"/>
          <w:bCs/>
          <w:color w:val="auto"/>
          <w:sz w:val="24"/>
          <w:szCs w:val="20"/>
          <w:lang w:val="en-US" w:eastAsia="zh-CN"/>
        </w:rPr>
        <w:t>崩落</w:t>
      </w:r>
      <w:r>
        <w:rPr>
          <w:rFonts w:hint="default" w:ascii="宋体" w:hAnsi="宋体"/>
          <w:bCs/>
          <w:color w:val="auto"/>
          <w:sz w:val="24"/>
          <w:szCs w:val="20"/>
          <w:lang w:val="en-US" w:eastAsia="zh-CN"/>
        </w:rPr>
        <w:t>灾害形成的地质环境条件与诱发因素资料，</w:t>
      </w:r>
      <w:r>
        <w:rPr>
          <w:rFonts w:hint="eastAsia" w:ascii="宋体" w:hAnsi="宋体"/>
          <w:bCs/>
          <w:color w:val="auto"/>
          <w:sz w:val="24"/>
          <w:szCs w:val="20"/>
          <w:lang w:val="en-US" w:eastAsia="zh-CN"/>
        </w:rPr>
        <w:t>如：</w:t>
      </w:r>
      <w:r>
        <w:rPr>
          <w:rFonts w:hint="default" w:ascii="宋体" w:hAnsi="宋体"/>
          <w:bCs/>
          <w:color w:val="auto"/>
          <w:sz w:val="24"/>
          <w:szCs w:val="20"/>
          <w:lang w:val="en-US" w:eastAsia="zh-CN"/>
        </w:rPr>
        <w:t>地形地貌、地层岩性、地层结构、地质构造、地震、气候、水文、植被、人类工程活动经济活动及遥感等资料。</w:t>
      </w:r>
    </w:p>
    <w:p>
      <w:pPr>
        <w:numPr>
          <w:ilvl w:val="0"/>
          <w:numId w:val="4"/>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边坡</w:t>
      </w:r>
      <w:r>
        <w:rPr>
          <w:rFonts w:hint="default" w:ascii="宋体" w:hAnsi="宋体"/>
          <w:bCs/>
          <w:color w:val="auto"/>
          <w:sz w:val="24"/>
          <w:szCs w:val="20"/>
          <w:lang w:val="en-US" w:eastAsia="zh-CN"/>
        </w:rPr>
        <w:t>危岩体</w:t>
      </w:r>
      <w:r>
        <w:rPr>
          <w:rFonts w:hint="eastAsia" w:ascii="宋体" w:hAnsi="宋体"/>
          <w:bCs/>
          <w:color w:val="auto"/>
          <w:sz w:val="24"/>
          <w:szCs w:val="20"/>
          <w:lang w:val="en-US" w:eastAsia="zh-CN"/>
        </w:rPr>
        <w:t>崩落</w:t>
      </w:r>
      <w:r>
        <w:rPr>
          <w:rFonts w:hint="default" w:ascii="宋体" w:hAnsi="宋体"/>
          <w:bCs/>
          <w:color w:val="auto"/>
          <w:sz w:val="24"/>
          <w:szCs w:val="20"/>
          <w:lang w:val="en-US" w:eastAsia="zh-CN"/>
        </w:rPr>
        <w:t>灾情和防治现状，</w:t>
      </w:r>
      <w:r>
        <w:rPr>
          <w:rFonts w:hint="eastAsia" w:ascii="宋体" w:hAnsi="宋体"/>
          <w:bCs/>
          <w:color w:val="auto"/>
          <w:sz w:val="24"/>
          <w:szCs w:val="20"/>
          <w:lang w:val="en-US" w:eastAsia="zh-CN"/>
        </w:rPr>
        <w:t>如：</w:t>
      </w:r>
      <w:r>
        <w:rPr>
          <w:rFonts w:hint="default" w:ascii="宋体" w:hAnsi="宋体"/>
          <w:bCs/>
          <w:color w:val="auto"/>
          <w:sz w:val="24"/>
          <w:szCs w:val="20"/>
          <w:lang w:val="en-US" w:eastAsia="zh-CN"/>
        </w:rPr>
        <w:t>历史上发生灾害的时间、类型、规模、灾情及其调查、勘查、监测、治理及抢险等资料；</w:t>
      </w:r>
    </w:p>
    <w:p>
      <w:pPr>
        <w:numPr>
          <w:ilvl w:val="0"/>
          <w:numId w:val="3"/>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调查范围须全覆盖不留死角</w:t>
      </w:r>
    </w:p>
    <w:p>
      <w:p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zh-CN" w:eastAsia="zh-CN"/>
        </w:rPr>
        <w:t>对黄埔区、天河区、番禺区、白云区、南沙区五个区（总地表投影面积约</w:t>
      </w:r>
      <w:r>
        <w:rPr>
          <w:rFonts w:hint="eastAsia" w:ascii="宋体" w:hAnsi="宋体"/>
          <w:bCs/>
          <w:color w:val="auto"/>
          <w:sz w:val="24"/>
          <w:szCs w:val="20"/>
          <w:lang w:val="en-US" w:eastAsia="zh-CN"/>
        </w:rPr>
        <w:t>2600平方公里</w:t>
      </w:r>
      <w:r>
        <w:rPr>
          <w:rFonts w:hint="eastAsia" w:ascii="宋体" w:hAnsi="宋体"/>
          <w:bCs/>
          <w:color w:val="auto"/>
          <w:sz w:val="24"/>
          <w:szCs w:val="20"/>
          <w:lang w:val="zh-CN" w:eastAsia="zh-CN"/>
        </w:rPr>
        <w:t>）开展全区域不留死角的</w:t>
      </w:r>
      <w:r>
        <w:rPr>
          <w:rFonts w:hint="eastAsia" w:ascii="宋体" w:hAnsi="宋体"/>
          <w:bCs/>
          <w:color w:val="auto"/>
          <w:sz w:val="24"/>
          <w:szCs w:val="20"/>
          <w:lang w:val="en-US" w:eastAsia="zh-CN"/>
        </w:rPr>
        <w:t>边坡</w:t>
      </w:r>
      <w:r>
        <w:rPr>
          <w:rFonts w:hint="default" w:ascii="宋体" w:hAnsi="宋体"/>
          <w:bCs/>
          <w:color w:val="auto"/>
          <w:sz w:val="24"/>
          <w:szCs w:val="20"/>
          <w:lang w:val="en-US" w:eastAsia="zh-CN"/>
        </w:rPr>
        <w:t>危岩体</w:t>
      </w:r>
      <w:r>
        <w:rPr>
          <w:rFonts w:hint="eastAsia" w:ascii="宋体" w:hAnsi="宋体"/>
          <w:bCs/>
          <w:color w:val="auto"/>
          <w:sz w:val="24"/>
          <w:szCs w:val="20"/>
          <w:lang w:val="en-US" w:eastAsia="zh-CN"/>
        </w:rPr>
        <w:t>崩落灾害</w:t>
      </w:r>
      <w:r>
        <w:rPr>
          <w:rFonts w:hint="eastAsia" w:ascii="宋体" w:hAnsi="宋体"/>
          <w:bCs/>
          <w:color w:val="auto"/>
          <w:sz w:val="24"/>
          <w:szCs w:val="20"/>
          <w:lang w:val="zh-CN" w:eastAsia="zh-CN"/>
        </w:rPr>
        <w:t>调查与评价工作，以“区域展开、突出重点、强化应用”为主导思想，分级分层次进行项目分解，由面到点开展工作；全面排查精度为</w:t>
      </w:r>
      <w:r>
        <w:rPr>
          <w:rFonts w:hint="eastAsia" w:ascii="宋体" w:hAnsi="宋体"/>
          <w:bCs/>
          <w:color w:val="auto"/>
          <w:sz w:val="24"/>
          <w:szCs w:val="20"/>
          <w:lang w:val="en-US" w:eastAsia="zh-CN"/>
        </w:rPr>
        <w:t>1:2000，针对危岩体综合危险性大，严重威胁至人及建（构）物的区域，设为重点调查区域，调查精度不小于1:1000；</w:t>
      </w:r>
      <w:r>
        <w:rPr>
          <w:rFonts w:hint="eastAsia" w:ascii="宋体" w:hAnsi="宋体"/>
          <w:bCs/>
          <w:color w:val="auto"/>
          <w:sz w:val="24"/>
          <w:szCs w:val="20"/>
          <w:lang w:val="zh-CN" w:eastAsia="zh-CN"/>
        </w:rPr>
        <w:t>调查对象除对边坡危岩体个体特征外，还须包括威胁对象，综合评价各区危岩体风险点的危险性；</w:t>
      </w:r>
    </w:p>
    <w:p>
      <w:pPr>
        <w:numPr>
          <w:ilvl w:val="0"/>
          <w:numId w:val="3"/>
        </w:num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工作手段须有效及多样化</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zh-CN" w:eastAsia="zh-CN"/>
        </w:rPr>
        <w:t>结合国内外同类工作的开展情况，前期须做好充足的技术准备，在调项目开展与防治过程中，引入和采用新技术新手段，结合传统的调查方式，确保全方位、高效、准确、经济的开展调查与防治工作，保证项目全面按时完成；</w:t>
      </w:r>
    </w:p>
    <w:p>
      <w:pPr>
        <w:numPr>
          <w:ilvl w:val="0"/>
          <w:numId w:val="3"/>
        </w:numPr>
        <w:spacing w:line="360" w:lineRule="auto"/>
        <w:ind w:left="0" w:leftChars="0"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工作成果须准确指引应用</w:t>
      </w:r>
    </w:p>
    <w:p>
      <w:pPr>
        <w:spacing w:line="360" w:lineRule="auto"/>
        <w:ind w:firstLine="480" w:firstLineChars="200"/>
        <w:rPr>
          <w:rFonts w:hint="default" w:ascii="宋体" w:hAnsi="宋体"/>
          <w:bCs/>
          <w:color w:val="auto"/>
          <w:sz w:val="24"/>
          <w:szCs w:val="20"/>
          <w:lang w:val="en-US" w:eastAsia="zh-CN"/>
        </w:rPr>
      </w:pPr>
      <w:r>
        <w:rPr>
          <w:rFonts w:hint="eastAsia" w:ascii="宋体" w:hAnsi="宋体"/>
          <w:bCs/>
          <w:color w:val="auto"/>
          <w:sz w:val="24"/>
          <w:szCs w:val="20"/>
          <w:lang w:val="en-US" w:eastAsia="zh-CN"/>
        </w:rPr>
        <w:t>本项目开展的初衷为查清危岩体灾害的分布及危害程度，目的在于对边坡</w:t>
      </w:r>
      <w:r>
        <w:rPr>
          <w:rFonts w:hint="default" w:ascii="宋体" w:hAnsi="宋体"/>
          <w:bCs/>
          <w:color w:val="auto"/>
          <w:sz w:val="24"/>
          <w:szCs w:val="20"/>
          <w:lang w:val="en-US" w:eastAsia="zh-CN"/>
        </w:rPr>
        <w:t>危岩体</w:t>
      </w:r>
      <w:r>
        <w:rPr>
          <w:rFonts w:hint="eastAsia" w:ascii="宋体" w:hAnsi="宋体"/>
          <w:bCs/>
          <w:color w:val="auto"/>
          <w:sz w:val="24"/>
          <w:szCs w:val="20"/>
          <w:lang w:val="en-US" w:eastAsia="zh-CN"/>
        </w:rPr>
        <w:t>崩落灾害的提前防治，避免人民生命财产受侵害。因此调查与评价成果形式须准确简洁直观，以地理信息数据库的方式呈现，各风险点须针对其危险性编制防治方案与估算治理费用，便于后期细化治理与管理。</w:t>
      </w:r>
    </w:p>
    <w:bookmarkEnd w:id="23"/>
    <w:bookmarkEnd w:id="24"/>
    <w:bookmarkEnd w:id="25"/>
    <w:bookmarkEnd w:id="26"/>
    <w:bookmarkEnd w:id="27"/>
    <w:bookmarkEnd w:id="28"/>
    <w:p>
      <w:pPr>
        <w:numPr>
          <w:ilvl w:val="0"/>
          <w:numId w:val="3"/>
        </w:numPr>
        <w:spacing w:line="360" w:lineRule="auto"/>
        <w:ind w:left="0" w:leftChars="0" w:firstLine="480" w:firstLineChars="200"/>
        <w:rPr>
          <w:rFonts w:hint="default" w:ascii="宋体" w:hAnsi="宋体" w:eastAsia="宋体"/>
          <w:bCs/>
          <w:color w:val="auto"/>
          <w:sz w:val="24"/>
          <w:szCs w:val="20"/>
          <w:lang w:val="en-US" w:eastAsia="zh-CN"/>
        </w:rPr>
      </w:pPr>
      <w:r>
        <w:rPr>
          <w:rFonts w:hint="eastAsia" w:ascii="宋体" w:hAnsi="宋体"/>
          <w:bCs/>
          <w:color w:val="auto"/>
          <w:sz w:val="24"/>
          <w:szCs w:val="20"/>
          <w:lang w:val="en-US" w:eastAsia="zh-CN"/>
        </w:rPr>
        <w:t>成果无缝对接我局平台</w:t>
      </w:r>
    </w:p>
    <w:p>
      <w:pPr>
        <w:spacing w:line="360" w:lineRule="auto"/>
        <w:ind w:firstLine="480" w:firstLineChars="200"/>
        <w:rPr>
          <w:rFonts w:hint="eastAsia" w:ascii="宋体" w:hAnsi="宋体"/>
          <w:bCs/>
          <w:color w:val="auto"/>
          <w:sz w:val="24"/>
          <w:szCs w:val="20"/>
          <w:lang w:val="zh-CN" w:eastAsia="zh-CN"/>
        </w:rPr>
      </w:pPr>
      <w:r>
        <w:rPr>
          <w:rFonts w:hint="eastAsia" w:ascii="宋体" w:hAnsi="宋体"/>
          <w:bCs/>
          <w:color w:val="auto"/>
          <w:sz w:val="24"/>
          <w:szCs w:val="20"/>
          <w:lang w:val="en-US" w:eastAsia="zh-CN"/>
        </w:rPr>
        <w:t>边坡</w:t>
      </w:r>
      <w:r>
        <w:rPr>
          <w:rFonts w:hint="default" w:ascii="宋体" w:hAnsi="宋体"/>
          <w:bCs/>
          <w:color w:val="auto"/>
          <w:sz w:val="24"/>
          <w:szCs w:val="20"/>
          <w:lang w:val="en-US" w:eastAsia="zh-CN"/>
        </w:rPr>
        <w:t>危岩体</w:t>
      </w:r>
      <w:r>
        <w:rPr>
          <w:rFonts w:hint="eastAsia" w:ascii="宋体" w:hAnsi="宋体"/>
          <w:bCs/>
          <w:color w:val="auto"/>
          <w:sz w:val="24"/>
          <w:szCs w:val="20"/>
          <w:lang w:val="en-US" w:eastAsia="zh-CN"/>
        </w:rPr>
        <w:t>崩落灾害</w:t>
      </w:r>
      <w:r>
        <w:rPr>
          <w:rFonts w:hint="eastAsia" w:ascii="宋体" w:hAnsi="宋体"/>
          <w:bCs/>
          <w:color w:val="auto"/>
          <w:sz w:val="24"/>
          <w:szCs w:val="20"/>
          <w:lang w:val="zh-CN" w:eastAsia="zh-CN"/>
        </w:rPr>
        <w:t>调查与评价成果信息数据库应接入广州市</w:t>
      </w:r>
      <w:r>
        <w:rPr>
          <w:rFonts w:hint="eastAsia" w:ascii="宋体" w:hAnsi="宋体"/>
          <w:bCs/>
          <w:color w:val="auto"/>
          <w:sz w:val="24"/>
          <w:szCs w:val="20"/>
          <w:lang w:val="en-US" w:eastAsia="zh-CN"/>
        </w:rPr>
        <w:t>CIM多规合一</w:t>
      </w:r>
      <w:r>
        <w:rPr>
          <w:rFonts w:hint="eastAsia" w:ascii="宋体" w:hAnsi="宋体"/>
          <w:bCs/>
          <w:color w:val="auto"/>
          <w:sz w:val="24"/>
          <w:szCs w:val="20"/>
          <w:lang w:val="zh-CN"/>
        </w:rPr>
        <w:t>平台与我局组织开发的广州地质随身行</w:t>
      </w:r>
      <w:r>
        <w:rPr>
          <w:rFonts w:hint="eastAsia" w:ascii="宋体" w:hAnsi="宋体"/>
          <w:bCs/>
          <w:color w:val="auto"/>
          <w:sz w:val="24"/>
          <w:szCs w:val="20"/>
          <w:lang w:val="en-US" w:eastAsia="zh-CN"/>
        </w:rPr>
        <w:t>APP</w:t>
      </w:r>
      <w:r>
        <w:rPr>
          <w:rFonts w:hint="eastAsia" w:ascii="宋体" w:hAnsi="宋体"/>
          <w:bCs/>
          <w:color w:val="auto"/>
          <w:sz w:val="24"/>
          <w:szCs w:val="20"/>
          <w:lang w:val="zh-CN" w:eastAsia="zh-CN"/>
        </w:rPr>
        <w:t>，实现危岩体崩落灾害防治信息的动态管理，同时供城乡规划建设、地质灾害防治、决策管理等人员查询。</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29" w:name="_Toc25508"/>
      <w:r>
        <w:rPr>
          <w:rFonts w:hint="eastAsia" w:ascii="宋体" w:hAnsi="宋体"/>
          <w:b/>
          <w:bCs/>
          <w:color w:val="auto"/>
          <w:kern w:val="0"/>
          <w:sz w:val="30"/>
          <w:szCs w:val="30"/>
          <w:lang w:val="zh-CN" w:eastAsia="zh-CN"/>
        </w:rPr>
        <w:t>主要依据及技术标准</w:t>
      </w:r>
      <w:bookmarkEnd w:id="29"/>
    </w:p>
    <w:p>
      <w:pPr>
        <w:numPr>
          <w:ilvl w:val="0"/>
          <w:numId w:val="5"/>
        </w:num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《广州市地质灾害详细调查项目工作设计》；</w:t>
      </w:r>
    </w:p>
    <w:p>
      <w:pPr>
        <w:numPr>
          <w:ilvl w:val="0"/>
          <w:numId w:val="5"/>
        </w:num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《地质灾害排查规范》（DZ/T0284-20150）；</w:t>
      </w:r>
    </w:p>
    <w:p>
      <w:pPr>
        <w:numPr>
          <w:ilvl w:val="0"/>
          <w:numId w:val="5"/>
        </w:num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《滑坡崩塌泥石流灾害调查规范》（DZ/T 0261-2014）；</w:t>
      </w:r>
    </w:p>
    <w:p>
      <w:pPr>
        <w:numPr>
          <w:ilvl w:val="0"/>
          <w:numId w:val="5"/>
        </w:num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《地质灾害危险性评估规范》(DZ/T 0286-2015)；</w:t>
      </w:r>
    </w:p>
    <w:p>
      <w:pPr>
        <w:numPr>
          <w:ilvl w:val="0"/>
          <w:numId w:val="5"/>
        </w:numPr>
        <w:spacing w:line="360" w:lineRule="auto"/>
        <w:ind w:left="0" w:leftChars="0" w:firstLine="480" w:firstLineChars="200"/>
        <w:rPr>
          <w:rFonts w:ascii="宋体" w:hAnsi="宋体"/>
          <w:bCs/>
          <w:color w:val="auto"/>
          <w:sz w:val="24"/>
          <w:szCs w:val="20"/>
          <w:lang w:val="zh-CN"/>
        </w:rPr>
      </w:pPr>
      <w:r>
        <w:rPr>
          <w:rFonts w:hint="eastAsia" w:ascii="宋体" w:hAnsi="宋体"/>
          <w:bCs/>
          <w:color w:val="auto"/>
          <w:sz w:val="24"/>
          <w:szCs w:val="20"/>
          <w:lang w:val="zh-CN"/>
        </w:rPr>
        <w:t>《广东省地质灾害危险性评估实施细则》（2016年修订）；</w:t>
      </w:r>
    </w:p>
    <w:p>
      <w:pPr>
        <w:numPr>
          <w:ilvl w:val="0"/>
          <w:numId w:val="5"/>
        </w:numPr>
        <w:spacing w:line="360" w:lineRule="auto"/>
        <w:ind w:left="0" w:leftChars="0" w:firstLine="480" w:firstLineChars="200"/>
        <w:rPr>
          <w:rFonts w:ascii="宋体" w:hAnsi="宋体"/>
          <w:bCs/>
          <w:color w:val="auto"/>
          <w:sz w:val="24"/>
          <w:szCs w:val="20"/>
          <w:lang w:val="zh-CN"/>
        </w:rPr>
      </w:pPr>
      <w:r>
        <w:rPr>
          <w:rFonts w:ascii="宋体" w:hAnsi="宋体" w:eastAsia="宋体" w:cs="宋体"/>
          <w:color w:val="auto"/>
          <w:sz w:val="24"/>
          <w:szCs w:val="24"/>
        </w:rPr>
        <w:t>《城市规划工程地质勘察规范》（CJJ57－2012）</w:t>
      </w:r>
      <w:r>
        <w:rPr>
          <w:rFonts w:hint="eastAsia" w:ascii="宋体" w:hAnsi="宋体"/>
          <w:bCs/>
          <w:color w:val="auto"/>
          <w:sz w:val="24"/>
          <w:szCs w:val="20"/>
          <w:lang w:val="zh-CN"/>
        </w:rPr>
        <w:t>。</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30" w:name="_Toc507426180"/>
      <w:bookmarkStart w:id="31" w:name="_Toc536713463"/>
      <w:bookmarkStart w:id="32" w:name="_Toc10401"/>
      <w:r>
        <w:rPr>
          <w:rFonts w:hint="eastAsia" w:ascii="宋体" w:hAnsi="宋体"/>
          <w:b/>
          <w:bCs/>
          <w:color w:val="auto"/>
          <w:kern w:val="0"/>
          <w:sz w:val="30"/>
          <w:szCs w:val="30"/>
          <w:lang w:val="zh-CN" w:eastAsia="zh-CN"/>
        </w:rPr>
        <w:t>服务期限</w:t>
      </w:r>
      <w:bookmarkEnd w:id="30"/>
      <w:bookmarkEnd w:id="31"/>
      <w:bookmarkEnd w:id="32"/>
    </w:p>
    <w:p>
      <w:pPr>
        <w:spacing w:line="360" w:lineRule="auto"/>
        <w:ind w:firstLine="480" w:firstLineChars="200"/>
        <w:rPr>
          <w:rFonts w:hint="default" w:ascii="宋体" w:hAnsi="宋体"/>
          <w:bCs/>
          <w:color w:val="auto"/>
          <w:sz w:val="24"/>
          <w:szCs w:val="20"/>
          <w:lang w:val="en-US" w:eastAsia="zh-CN"/>
        </w:rPr>
      </w:pPr>
      <w:r>
        <w:rPr>
          <w:rFonts w:hint="eastAsia" w:ascii="宋体" w:hAnsi="宋体"/>
          <w:color w:val="auto"/>
          <w:kern w:val="28"/>
          <w:sz w:val="24"/>
          <w:szCs w:val="24"/>
          <w:lang w:val="zh-CN" w:eastAsia="zh-CN"/>
        </w:rPr>
        <w:t>服务期限</w:t>
      </w:r>
      <w:r>
        <w:rPr>
          <w:rFonts w:ascii="宋体" w:hAnsi="宋体"/>
          <w:color w:val="auto"/>
          <w:kern w:val="28"/>
          <w:sz w:val="24"/>
          <w:szCs w:val="24"/>
          <w:lang w:val="zh-CN" w:eastAsia="zh-CN"/>
        </w:rPr>
        <w:t>从签订合同日至20</w:t>
      </w:r>
      <w:r>
        <w:rPr>
          <w:rFonts w:hint="eastAsia" w:ascii="宋体" w:hAnsi="宋体"/>
          <w:color w:val="auto"/>
          <w:kern w:val="28"/>
          <w:sz w:val="24"/>
          <w:szCs w:val="24"/>
          <w:lang w:val="en-US" w:eastAsia="zh-CN"/>
        </w:rPr>
        <w:t>21</w:t>
      </w:r>
      <w:r>
        <w:rPr>
          <w:rFonts w:ascii="宋体" w:hAnsi="宋体"/>
          <w:color w:val="auto"/>
          <w:kern w:val="28"/>
          <w:sz w:val="24"/>
          <w:szCs w:val="24"/>
          <w:lang w:val="zh-CN" w:eastAsia="zh-CN"/>
        </w:rPr>
        <w:t>年</w:t>
      </w:r>
      <w:r>
        <w:rPr>
          <w:rFonts w:hint="eastAsia" w:ascii="宋体" w:hAnsi="宋体"/>
          <w:color w:val="auto"/>
          <w:kern w:val="28"/>
          <w:sz w:val="24"/>
          <w:szCs w:val="24"/>
          <w:lang w:val="en-US" w:eastAsia="zh-CN"/>
        </w:rPr>
        <w:t>12</w:t>
      </w:r>
      <w:r>
        <w:rPr>
          <w:rFonts w:ascii="宋体" w:hAnsi="宋体"/>
          <w:color w:val="auto"/>
          <w:kern w:val="28"/>
          <w:sz w:val="24"/>
          <w:szCs w:val="24"/>
          <w:lang w:val="zh-CN" w:eastAsia="zh-CN"/>
        </w:rPr>
        <w:t>月31日</w:t>
      </w:r>
      <w:r>
        <w:rPr>
          <w:rFonts w:hint="eastAsia" w:ascii="宋体" w:hAnsi="宋体"/>
          <w:color w:val="auto"/>
          <w:kern w:val="28"/>
          <w:sz w:val="24"/>
          <w:szCs w:val="24"/>
          <w:lang w:val="zh-CN" w:eastAsia="zh-CN"/>
        </w:rPr>
        <w:t>，其中中期成果验收时间节点为</w:t>
      </w:r>
      <w:r>
        <w:rPr>
          <w:rFonts w:hint="eastAsia" w:ascii="宋体" w:hAnsi="宋体"/>
          <w:color w:val="auto"/>
          <w:kern w:val="28"/>
          <w:sz w:val="24"/>
          <w:szCs w:val="24"/>
          <w:lang w:val="en-US" w:eastAsia="zh-CN"/>
        </w:rPr>
        <w:t>2020年12月31日前，最终成果验收时间节点为2021年7月31日前。</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33" w:name="_Toc31788"/>
      <w:r>
        <w:rPr>
          <w:rFonts w:hint="eastAsia" w:ascii="宋体" w:hAnsi="宋体"/>
          <w:b/>
          <w:bCs/>
          <w:color w:val="auto"/>
          <w:kern w:val="0"/>
          <w:sz w:val="30"/>
          <w:szCs w:val="30"/>
          <w:lang w:val="zh-CN" w:eastAsia="zh-CN"/>
        </w:rPr>
        <w:t>验收标准</w:t>
      </w:r>
      <w:bookmarkEnd w:id="33"/>
    </w:p>
    <w:p>
      <w:pPr>
        <w:spacing w:line="360" w:lineRule="auto"/>
        <w:ind w:firstLine="480" w:firstLineChars="200"/>
        <w:rPr>
          <w:rFonts w:hint="eastAsia" w:ascii="宋体" w:hAnsi="宋体"/>
          <w:bCs/>
          <w:color w:val="auto"/>
          <w:sz w:val="24"/>
          <w:szCs w:val="20"/>
          <w:lang w:val="zh-CN"/>
        </w:rPr>
      </w:pPr>
      <w:r>
        <w:rPr>
          <w:rFonts w:hint="eastAsia" w:ascii="宋体" w:hAnsi="宋体"/>
          <w:color w:val="auto"/>
          <w:kern w:val="28"/>
          <w:sz w:val="24"/>
          <w:szCs w:val="24"/>
        </w:rPr>
        <w:t>城维计划-广州市边坡危岩体调查评价与防治规划应对策略</w:t>
      </w:r>
      <w:r>
        <w:rPr>
          <w:rFonts w:hint="eastAsia" w:ascii="宋体" w:hAnsi="宋体"/>
          <w:bCs/>
          <w:color w:val="auto"/>
          <w:sz w:val="24"/>
          <w:szCs w:val="20"/>
          <w:lang w:val="zh-CN"/>
        </w:rPr>
        <w:t>为一次性跨年度项目，从2</w:t>
      </w:r>
      <w:r>
        <w:rPr>
          <w:rFonts w:hint="eastAsia" w:ascii="宋体" w:hAnsi="宋体"/>
          <w:bCs/>
          <w:color w:val="auto"/>
          <w:sz w:val="24"/>
          <w:szCs w:val="20"/>
          <w:lang w:val="en-US" w:eastAsia="zh-CN"/>
        </w:rPr>
        <w:t>020</w:t>
      </w:r>
      <w:r>
        <w:rPr>
          <w:rFonts w:hint="eastAsia" w:ascii="宋体" w:hAnsi="宋体"/>
          <w:bCs/>
          <w:color w:val="auto"/>
          <w:sz w:val="24"/>
          <w:szCs w:val="20"/>
          <w:lang w:val="zh-CN"/>
        </w:rPr>
        <w:t>年开始分两年实施，20</w:t>
      </w:r>
      <w:r>
        <w:rPr>
          <w:rFonts w:hint="eastAsia" w:ascii="宋体" w:hAnsi="宋体"/>
          <w:bCs/>
          <w:color w:val="auto"/>
          <w:sz w:val="24"/>
          <w:szCs w:val="20"/>
          <w:lang w:val="en-US" w:eastAsia="zh-CN"/>
        </w:rPr>
        <w:t>21</w:t>
      </w:r>
      <w:r>
        <w:rPr>
          <w:rFonts w:hint="eastAsia" w:ascii="宋体" w:hAnsi="宋体"/>
          <w:bCs/>
          <w:color w:val="auto"/>
          <w:sz w:val="24"/>
          <w:szCs w:val="20"/>
          <w:lang w:val="zh-CN"/>
        </w:rPr>
        <w:t>年提交成果需整理分析汇总项目</w:t>
      </w:r>
      <w:r>
        <w:rPr>
          <w:rFonts w:hint="eastAsia" w:ascii="宋体" w:hAnsi="宋体"/>
          <w:bCs/>
          <w:color w:val="auto"/>
          <w:sz w:val="24"/>
          <w:szCs w:val="20"/>
          <w:lang w:val="en-US" w:eastAsia="zh-CN"/>
        </w:rPr>
        <w:t>2020</w:t>
      </w:r>
      <w:r>
        <w:rPr>
          <w:rFonts w:hint="eastAsia" w:ascii="宋体" w:hAnsi="宋体"/>
          <w:bCs/>
          <w:color w:val="auto"/>
          <w:sz w:val="24"/>
          <w:szCs w:val="20"/>
          <w:lang w:val="zh-CN"/>
        </w:rPr>
        <w:t>年和20</w:t>
      </w:r>
      <w:r>
        <w:rPr>
          <w:rFonts w:hint="eastAsia" w:ascii="宋体" w:hAnsi="宋体"/>
          <w:bCs/>
          <w:color w:val="auto"/>
          <w:sz w:val="24"/>
          <w:szCs w:val="20"/>
          <w:lang w:val="en-US" w:eastAsia="zh-CN"/>
        </w:rPr>
        <w:t>21</w:t>
      </w:r>
      <w:r>
        <w:rPr>
          <w:rFonts w:hint="eastAsia" w:ascii="宋体" w:hAnsi="宋体"/>
          <w:bCs/>
          <w:color w:val="auto"/>
          <w:sz w:val="24"/>
          <w:szCs w:val="20"/>
          <w:lang w:val="zh-CN"/>
        </w:rPr>
        <w:t>年各工作区的成果资料，形成一套完整的成果，主要如下：</w:t>
      </w:r>
    </w:p>
    <w:p>
      <w:pPr>
        <w:numPr>
          <w:ilvl w:val="0"/>
          <w:numId w:val="6"/>
        </w:num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w:t>
      </w:r>
      <w:r>
        <w:rPr>
          <w:rFonts w:hint="eastAsia" w:ascii="宋体" w:hAnsi="宋体"/>
          <w:color w:val="auto"/>
          <w:kern w:val="28"/>
          <w:sz w:val="24"/>
          <w:szCs w:val="24"/>
        </w:rPr>
        <w:t>广州市边坡危岩体调查评价与防治规划应对策略</w:t>
      </w:r>
      <w:r>
        <w:rPr>
          <w:rFonts w:hint="eastAsia" w:ascii="宋体" w:hAnsi="宋体"/>
          <w:color w:val="auto"/>
          <w:kern w:val="28"/>
          <w:sz w:val="24"/>
          <w:szCs w:val="24"/>
          <w:lang w:eastAsia="zh-CN"/>
        </w:rPr>
        <w:t>（</w:t>
      </w:r>
      <w:r>
        <w:rPr>
          <w:rFonts w:hint="eastAsia" w:ascii="宋体" w:hAnsi="宋体"/>
          <w:bCs/>
          <w:color w:val="auto"/>
          <w:sz w:val="24"/>
          <w:szCs w:val="20"/>
          <w:lang w:val="zh-CN" w:eastAsia="zh-CN"/>
        </w:rPr>
        <w:t>黄埔区、天河区、番禺区、白云区、南沙区</w:t>
      </w:r>
      <w:r>
        <w:rPr>
          <w:rFonts w:hint="eastAsia" w:ascii="宋体" w:hAnsi="宋体"/>
          <w:color w:val="auto"/>
          <w:kern w:val="28"/>
          <w:sz w:val="24"/>
          <w:szCs w:val="24"/>
          <w:lang w:eastAsia="zh-CN"/>
        </w:rPr>
        <w:t>）</w:t>
      </w:r>
      <w:r>
        <w:rPr>
          <w:rFonts w:hint="eastAsia" w:ascii="宋体" w:hAnsi="宋体"/>
          <w:bCs/>
          <w:color w:val="auto"/>
          <w:sz w:val="24"/>
          <w:szCs w:val="20"/>
          <w:lang w:val="zh-CN"/>
        </w:rPr>
        <w:t>》报告；</w:t>
      </w:r>
    </w:p>
    <w:p>
      <w:pPr>
        <w:spacing w:line="360" w:lineRule="auto"/>
        <w:ind w:firstLine="480" w:firstLineChars="200"/>
        <w:rPr>
          <w:rFonts w:ascii="宋体" w:hAnsi="宋体"/>
          <w:bCs/>
          <w:color w:val="auto"/>
          <w:sz w:val="24"/>
          <w:szCs w:val="20"/>
          <w:lang w:val="zh-CN"/>
        </w:rPr>
      </w:pPr>
      <w:r>
        <w:rPr>
          <w:rFonts w:hint="eastAsia" w:ascii="宋体" w:hAnsi="宋体"/>
          <w:bCs/>
          <w:color w:val="auto"/>
          <w:sz w:val="24"/>
          <w:szCs w:val="20"/>
          <w:lang w:val="zh-CN"/>
        </w:rPr>
        <w:t>2．边坡危岩体分布系列</w:t>
      </w:r>
      <w:r>
        <w:rPr>
          <w:rFonts w:hint="eastAsia" w:ascii="宋体" w:hAnsi="宋体"/>
          <w:bCs/>
          <w:color w:val="auto"/>
          <w:sz w:val="24"/>
          <w:szCs w:val="20"/>
          <w:lang w:val="zh-CN" w:eastAsia="zh-CN"/>
        </w:rPr>
        <w:t>矢量化</w:t>
      </w:r>
      <w:r>
        <w:rPr>
          <w:rFonts w:hint="eastAsia" w:ascii="宋体" w:hAnsi="宋体"/>
          <w:bCs/>
          <w:color w:val="auto"/>
          <w:sz w:val="24"/>
          <w:szCs w:val="20"/>
          <w:lang w:val="zh-CN"/>
        </w:rPr>
        <w:t>图件，边坡危岩体崩落灾害危险性评价</w:t>
      </w:r>
      <w:r>
        <w:rPr>
          <w:rFonts w:hint="eastAsia" w:ascii="宋体" w:hAnsi="宋体"/>
          <w:bCs/>
          <w:color w:val="auto"/>
          <w:sz w:val="24"/>
          <w:szCs w:val="20"/>
          <w:lang w:val="zh-CN" w:eastAsia="zh-CN"/>
        </w:rPr>
        <w:t>风险区划</w:t>
      </w:r>
      <w:r>
        <w:rPr>
          <w:rFonts w:hint="eastAsia" w:ascii="宋体" w:hAnsi="宋体"/>
          <w:bCs/>
          <w:color w:val="auto"/>
          <w:sz w:val="24"/>
          <w:szCs w:val="20"/>
          <w:lang w:val="zh-CN"/>
        </w:rPr>
        <w:t>系列</w:t>
      </w:r>
      <w:r>
        <w:rPr>
          <w:rFonts w:hint="eastAsia" w:ascii="宋体" w:hAnsi="宋体"/>
          <w:bCs/>
          <w:color w:val="auto"/>
          <w:sz w:val="24"/>
          <w:szCs w:val="20"/>
          <w:lang w:val="zh-CN" w:eastAsia="zh-CN"/>
        </w:rPr>
        <w:t>矢量化</w:t>
      </w:r>
      <w:r>
        <w:rPr>
          <w:rFonts w:hint="eastAsia" w:ascii="宋体" w:hAnsi="宋体"/>
          <w:bCs/>
          <w:color w:val="auto"/>
          <w:sz w:val="24"/>
          <w:szCs w:val="20"/>
          <w:lang w:val="zh-CN"/>
        </w:rPr>
        <w:t>图件，边坡危岩体崩落灾害治理方案与治理费用分析系列文本和表格；</w:t>
      </w:r>
    </w:p>
    <w:p>
      <w:p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en-US" w:eastAsia="zh-CN"/>
        </w:rPr>
        <w:t>3</w:t>
      </w:r>
      <w:r>
        <w:rPr>
          <w:rFonts w:hint="eastAsia" w:ascii="宋体" w:hAnsi="宋体"/>
          <w:bCs/>
          <w:color w:val="auto"/>
          <w:sz w:val="24"/>
          <w:szCs w:val="20"/>
          <w:lang w:val="zh-CN"/>
        </w:rPr>
        <w:t>．广州市边坡危岩体崩落灾害信息数据库（</w:t>
      </w:r>
      <w:r>
        <w:rPr>
          <w:rFonts w:hint="eastAsia" w:ascii="宋体" w:hAnsi="宋体"/>
          <w:bCs/>
          <w:color w:val="auto"/>
          <w:sz w:val="24"/>
          <w:szCs w:val="20"/>
          <w:lang w:val="zh-CN" w:eastAsia="zh-CN"/>
        </w:rPr>
        <w:t>黄埔区、天河区、番禺区、白云区、南沙区</w:t>
      </w:r>
      <w:r>
        <w:rPr>
          <w:rFonts w:hint="eastAsia" w:ascii="宋体" w:hAnsi="宋体"/>
          <w:bCs/>
          <w:color w:val="auto"/>
          <w:sz w:val="24"/>
          <w:szCs w:val="20"/>
          <w:lang w:val="zh-CN"/>
        </w:rPr>
        <w:t>）；</w:t>
      </w:r>
    </w:p>
    <w:p>
      <w:p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形成的成果须通过采购人组织的中期和最终专家验收会，中期验收标准主要包括：背景资料收集完毕并完成调查成果底图绘制，全面排查工作完成率达</w:t>
      </w:r>
      <w:r>
        <w:rPr>
          <w:rFonts w:hint="eastAsia" w:ascii="宋体" w:hAnsi="宋体"/>
          <w:bCs/>
          <w:color w:val="auto"/>
          <w:sz w:val="24"/>
          <w:szCs w:val="20"/>
          <w:lang w:val="en-US" w:eastAsia="zh-CN"/>
        </w:rPr>
        <w:t>100%并完成全面排查相关成果图件初稿绘制，重点调查区域划定完毕且重点调查区域野外调查与测量工作完成率不少于70%，已完成区域野外调查表格与记录完善。最终成果验标准：报告、图件、其他文本与表格、数据库所有成果全面完成，野外调查表格与记录完善。</w:t>
      </w:r>
    </w:p>
    <w:p>
      <w:p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rPr>
        <w:t>验收通过后须提供全套成果报告与图件的电子文档光盘（包含图件矢量文件）与正式文本（包含图册）</w:t>
      </w:r>
      <w:r>
        <w:rPr>
          <w:rFonts w:hint="eastAsia" w:ascii="宋体" w:hAnsi="宋体"/>
          <w:bCs/>
          <w:color w:val="auto"/>
          <w:sz w:val="24"/>
          <w:szCs w:val="20"/>
          <w:lang w:val="en-US" w:eastAsia="zh-CN"/>
        </w:rPr>
        <w:t>10套</w:t>
      </w:r>
      <w:r>
        <w:rPr>
          <w:rFonts w:hint="eastAsia" w:ascii="宋体" w:hAnsi="宋体"/>
          <w:bCs/>
          <w:color w:val="auto"/>
          <w:sz w:val="24"/>
          <w:szCs w:val="20"/>
          <w:lang w:val="zh-CN"/>
        </w:rPr>
        <w:t>。</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hint="eastAsia" w:ascii="宋体" w:hAnsi="宋体"/>
          <w:b/>
          <w:bCs/>
          <w:color w:val="auto"/>
          <w:kern w:val="0"/>
          <w:sz w:val="30"/>
          <w:szCs w:val="30"/>
          <w:lang w:val="zh-CN" w:eastAsia="zh-CN"/>
        </w:rPr>
      </w:pPr>
      <w:bookmarkStart w:id="34" w:name="_Toc32117"/>
      <w:r>
        <w:rPr>
          <w:rFonts w:hint="eastAsia" w:ascii="宋体" w:hAnsi="宋体"/>
          <w:b/>
          <w:bCs/>
          <w:color w:val="auto"/>
          <w:kern w:val="0"/>
          <w:sz w:val="30"/>
          <w:szCs w:val="30"/>
          <w:lang w:val="zh-CN" w:eastAsia="zh-CN"/>
        </w:rPr>
        <w:t>采购方式</w:t>
      </w:r>
      <w:bookmarkEnd w:id="34"/>
    </w:p>
    <w:p>
      <w:pPr>
        <w:spacing w:line="360" w:lineRule="auto"/>
        <w:ind w:firstLine="480" w:firstLineChars="200"/>
        <w:rPr>
          <w:rFonts w:hint="eastAsia" w:ascii="宋体" w:hAnsi="宋体"/>
          <w:bCs/>
          <w:color w:val="auto"/>
          <w:sz w:val="24"/>
          <w:szCs w:val="20"/>
          <w:lang w:val="zh-CN"/>
        </w:rPr>
      </w:pPr>
      <w:r>
        <w:rPr>
          <w:rFonts w:hint="eastAsia" w:ascii="宋体" w:hAnsi="宋体"/>
          <w:bCs/>
          <w:color w:val="auto"/>
          <w:sz w:val="24"/>
          <w:szCs w:val="20"/>
          <w:lang w:val="zh-CN" w:eastAsia="zh-CN"/>
        </w:rPr>
        <w:t>项目采购类型为技术服务类，采购对象为具备地质灾害勘查或工程勘察等相关资质和技术力量、业绩的技术单位，采购方式为公开招标。</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35" w:name="_Toc463969169"/>
      <w:bookmarkStart w:id="36" w:name="_Toc7052"/>
      <w:bookmarkStart w:id="37" w:name="_Toc536713467"/>
      <w:bookmarkStart w:id="38" w:name="_Toc476140382"/>
      <w:bookmarkStart w:id="39" w:name="_Toc463969444"/>
      <w:bookmarkStart w:id="40" w:name="_Toc507426184"/>
      <w:r>
        <w:rPr>
          <w:rFonts w:hint="eastAsia" w:ascii="宋体" w:hAnsi="宋体"/>
          <w:b/>
          <w:bCs/>
          <w:color w:val="auto"/>
          <w:kern w:val="0"/>
          <w:sz w:val="30"/>
          <w:szCs w:val="30"/>
          <w:lang w:val="zh-CN" w:eastAsia="zh-CN"/>
        </w:rPr>
        <w:t>合同签订</w:t>
      </w:r>
      <w:bookmarkEnd w:id="35"/>
      <w:bookmarkEnd w:id="36"/>
      <w:bookmarkEnd w:id="37"/>
      <w:bookmarkEnd w:id="38"/>
      <w:bookmarkEnd w:id="39"/>
      <w:bookmarkEnd w:id="40"/>
    </w:p>
    <w:p>
      <w:pPr>
        <w:widowControl/>
        <w:tabs>
          <w:tab w:val="left" w:pos="420"/>
        </w:tabs>
        <w:spacing w:line="360" w:lineRule="auto"/>
        <w:ind w:left="6" w:firstLine="355" w:firstLineChars="148"/>
        <w:jc w:val="left"/>
        <w:rPr>
          <w:rFonts w:ascii="宋体" w:hAnsi="Times New Roman" w:cs="仿宋_GB2312"/>
          <w:color w:val="auto"/>
          <w:kern w:val="0"/>
          <w:sz w:val="24"/>
          <w:szCs w:val="24"/>
        </w:rPr>
      </w:pPr>
      <w:r>
        <w:rPr>
          <w:rFonts w:hint="eastAsia" w:ascii="宋体" w:hAnsi="宋体" w:cs="仿宋_GB2312"/>
          <w:color w:val="auto"/>
          <w:kern w:val="0"/>
          <w:sz w:val="24"/>
          <w:szCs w:val="24"/>
        </w:rPr>
        <w:t>待采购人确认中标供应商后，中标供应商在收到中标通知书后</w:t>
      </w:r>
      <w:r>
        <w:rPr>
          <w:rFonts w:ascii="宋体" w:hAnsi="宋体" w:cs="仿宋_GB2312"/>
          <w:color w:val="auto"/>
          <w:kern w:val="0"/>
          <w:sz w:val="24"/>
          <w:szCs w:val="24"/>
        </w:rPr>
        <w:t>30</w:t>
      </w:r>
      <w:r>
        <w:rPr>
          <w:rFonts w:hint="eastAsia" w:ascii="宋体" w:hAnsi="宋体" w:cs="仿宋_GB2312"/>
          <w:color w:val="auto"/>
          <w:kern w:val="0"/>
          <w:sz w:val="24"/>
          <w:szCs w:val="24"/>
        </w:rPr>
        <w:t>天内与采购人按以下依据签订本招标项目合同，否则，采购人有权取消其中标资格，合同签订依据如下：</w:t>
      </w:r>
    </w:p>
    <w:p>
      <w:pPr>
        <w:widowControl/>
        <w:tabs>
          <w:tab w:val="left" w:pos="420"/>
        </w:tabs>
        <w:spacing w:line="360" w:lineRule="auto"/>
        <w:ind w:firstLine="480" w:firstLineChars="200"/>
        <w:jc w:val="left"/>
        <w:rPr>
          <w:rFonts w:ascii="宋体" w:hAnsi="Times New Roman" w:cs="仿宋_GB2312"/>
          <w:color w:val="auto"/>
          <w:kern w:val="0"/>
          <w:sz w:val="24"/>
          <w:szCs w:val="24"/>
        </w:rPr>
      </w:pPr>
      <w:r>
        <w:rPr>
          <w:rFonts w:hint="eastAsia" w:ascii="宋体" w:hAnsi="宋体" w:cs="仿宋_GB2312"/>
          <w:color w:val="auto"/>
          <w:kern w:val="0"/>
          <w:sz w:val="24"/>
          <w:szCs w:val="24"/>
        </w:rPr>
        <w:t>1．《中华人民共和国合同法》；</w:t>
      </w:r>
    </w:p>
    <w:p>
      <w:pPr>
        <w:widowControl/>
        <w:tabs>
          <w:tab w:val="left" w:pos="420"/>
        </w:tabs>
        <w:spacing w:line="360" w:lineRule="auto"/>
        <w:ind w:firstLine="480" w:firstLineChars="200"/>
        <w:jc w:val="left"/>
        <w:rPr>
          <w:rFonts w:ascii="宋体" w:hAnsi="Times New Roman" w:cs="仿宋_GB2312"/>
          <w:color w:val="auto"/>
          <w:kern w:val="0"/>
          <w:sz w:val="24"/>
          <w:szCs w:val="24"/>
        </w:rPr>
      </w:pPr>
      <w:r>
        <w:rPr>
          <w:rFonts w:hint="eastAsia" w:ascii="宋体" w:hAnsi="宋体" w:cs="仿宋_GB2312"/>
          <w:color w:val="auto"/>
          <w:kern w:val="0"/>
          <w:sz w:val="24"/>
          <w:szCs w:val="24"/>
        </w:rPr>
        <w:t>2．国家或采购人相关标准合同；</w:t>
      </w:r>
    </w:p>
    <w:p>
      <w:pPr>
        <w:tabs>
          <w:tab w:val="left" w:pos="420"/>
        </w:tabs>
        <w:spacing w:line="360" w:lineRule="auto"/>
        <w:ind w:firstLine="480" w:firstLineChars="200"/>
        <w:jc w:val="left"/>
        <w:rPr>
          <w:rFonts w:ascii="宋体" w:hAnsi="Times New Roman" w:cs="仿宋_GB2312"/>
          <w:color w:val="auto"/>
          <w:kern w:val="0"/>
          <w:sz w:val="24"/>
          <w:szCs w:val="24"/>
        </w:rPr>
      </w:pPr>
      <w:r>
        <w:rPr>
          <w:rFonts w:hint="eastAsia" w:ascii="宋体" w:hAnsi="宋体" w:cs="仿宋_GB2312"/>
          <w:color w:val="auto"/>
          <w:kern w:val="0"/>
          <w:sz w:val="24"/>
          <w:szCs w:val="24"/>
        </w:rPr>
        <w:t>3．其它相关内容以合同附件约定。</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41" w:name="_Toc463969445"/>
      <w:bookmarkStart w:id="42" w:name="_Toc476140383"/>
      <w:bookmarkStart w:id="43" w:name="_Toc23136"/>
      <w:bookmarkStart w:id="44" w:name="_Toc536713468"/>
      <w:bookmarkStart w:id="45" w:name="_Toc463969170"/>
      <w:bookmarkStart w:id="46" w:name="_Toc507426185"/>
      <w:r>
        <w:rPr>
          <w:rFonts w:hint="eastAsia" w:ascii="宋体" w:hAnsi="宋体"/>
          <w:b/>
          <w:bCs/>
          <w:color w:val="auto"/>
          <w:kern w:val="0"/>
          <w:sz w:val="30"/>
          <w:szCs w:val="30"/>
          <w:lang w:val="zh-CN" w:eastAsia="zh-CN"/>
        </w:rPr>
        <w:t>付款方式</w:t>
      </w:r>
      <w:bookmarkEnd w:id="41"/>
      <w:bookmarkEnd w:id="42"/>
      <w:bookmarkEnd w:id="43"/>
      <w:bookmarkEnd w:id="44"/>
      <w:bookmarkEnd w:id="45"/>
      <w:bookmarkEnd w:id="46"/>
    </w:p>
    <w:p>
      <w:pPr>
        <w:widowControl/>
        <w:tabs>
          <w:tab w:val="left" w:pos="420"/>
        </w:tabs>
        <w:spacing w:line="360" w:lineRule="auto"/>
        <w:ind w:left="6" w:firstLine="355" w:firstLineChars="148"/>
        <w:jc w:val="left"/>
        <w:rPr>
          <w:rFonts w:ascii="宋体" w:hAnsi="宋体" w:cs="仿宋_GB2312"/>
          <w:color w:val="auto"/>
          <w:kern w:val="0"/>
          <w:sz w:val="24"/>
          <w:szCs w:val="24"/>
        </w:rPr>
      </w:pPr>
      <w:r>
        <w:rPr>
          <w:rFonts w:hint="eastAsia" w:ascii="宋体" w:hAnsi="宋体" w:cs="仿宋_GB2312"/>
          <w:color w:val="auto"/>
          <w:kern w:val="0"/>
          <w:sz w:val="24"/>
          <w:szCs w:val="24"/>
          <w:lang w:val="en-US" w:eastAsia="zh-CN"/>
        </w:rPr>
        <w:t>1.</w:t>
      </w:r>
      <w:r>
        <w:rPr>
          <w:rFonts w:hint="eastAsia" w:ascii="宋体" w:hAnsi="宋体" w:cs="仿宋_GB2312"/>
          <w:color w:val="auto"/>
          <w:kern w:val="0"/>
          <w:sz w:val="24"/>
          <w:szCs w:val="24"/>
        </w:rPr>
        <w:t>项目工作完成并提交成果文件后，凭以下资料向甲方提出支付款项的申请：</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1</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合同复印件；</w:t>
      </w:r>
    </w:p>
    <w:p>
      <w:pPr>
        <w:widowControl/>
        <w:tabs>
          <w:tab w:val="left" w:pos="420"/>
        </w:tabs>
        <w:spacing w:line="360" w:lineRule="auto"/>
        <w:ind w:firstLine="480" w:firstLineChars="200"/>
        <w:jc w:val="left"/>
        <w:rPr>
          <w:rFonts w:hint="eastAsia"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2</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中标供应商开具的正式发票；</w:t>
      </w:r>
    </w:p>
    <w:p>
      <w:pPr>
        <w:widowControl/>
        <w:tabs>
          <w:tab w:val="left" w:pos="420"/>
        </w:tabs>
        <w:spacing w:line="360" w:lineRule="auto"/>
        <w:ind w:firstLine="480" w:firstLineChars="200"/>
        <w:jc w:val="left"/>
        <w:rPr>
          <w:rFonts w:hint="eastAsia"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3</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中标通知书；</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4</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专家评审意见。</w:t>
      </w:r>
    </w:p>
    <w:p>
      <w:pPr>
        <w:widowControl/>
        <w:tabs>
          <w:tab w:val="left" w:pos="420"/>
        </w:tabs>
        <w:spacing w:line="360" w:lineRule="auto"/>
        <w:ind w:left="6" w:firstLine="355" w:firstLineChars="148"/>
        <w:jc w:val="left"/>
        <w:rPr>
          <w:rFonts w:ascii="宋体" w:hAnsi="宋体" w:cs="仿宋_GB2312"/>
          <w:color w:val="auto"/>
          <w:kern w:val="0"/>
          <w:sz w:val="24"/>
          <w:szCs w:val="24"/>
        </w:rPr>
      </w:pPr>
      <w:r>
        <w:rPr>
          <w:rFonts w:hint="eastAsia" w:ascii="宋体" w:hAnsi="宋体" w:cs="仿宋_GB2312"/>
          <w:color w:val="auto"/>
          <w:kern w:val="0"/>
          <w:sz w:val="24"/>
          <w:szCs w:val="24"/>
          <w:lang w:val="en-US" w:eastAsia="zh-CN"/>
        </w:rPr>
        <w:t>2.</w:t>
      </w:r>
      <w:r>
        <w:rPr>
          <w:rFonts w:hint="eastAsia" w:ascii="宋体" w:hAnsi="宋体" w:cs="仿宋_GB2312"/>
          <w:color w:val="auto"/>
          <w:kern w:val="0"/>
          <w:sz w:val="24"/>
          <w:szCs w:val="24"/>
        </w:rPr>
        <w:t>按下述步骤付款：</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1</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合同签订后采购人在15个工作日内向中标供应商支付合同总金额的50%，</w:t>
      </w:r>
      <w:r>
        <w:rPr>
          <w:rFonts w:hint="eastAsia" w:ascii="宋体" w:hAnsi="宋体" w:cs="宋体"/>
          <w:color w:val="auto"/>
          <w:kern w:val="0"/>
          <w:sz w:val="24"/>
          <w:szCs w:val="24"/>
        </w:rPr>
        <w:t>作为预付款；</w:t>
      </w:r>
    </w:p>
    <w:p>
      <w:pPr>
        <w:widowControl/>
        <w:tabs>
          <w:tab w:val="left" w:pos="420"/>
        </w:tabs>
        <w:spacing w:line="360" w:lineRule="auto"/>
        <w:ind w:firstLine="480" w:firstLineChars="200"/>
        <w:jc w:val="lef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lang w:eastAsia="zh-CN"/>
        </w:rPr>
        <w:t>（</w:t>
      </w:r>
      <w:r>
        <w:rPr>
          <w:rFonts w:hint="eastAsia" w:ascii="宋体" w:hAnsi="宋体" w:cs="仿宋_GB2312"/>
          <w:color w:val="auto"/>
          <w:kern w:val="0"/>
          <w:sz w:val="24"/>
          <w:szCs w:val="24"/>
          <w:highlight w:val="none"/>
          <w:lang w:val="en-US" w:eastAsia="zh-CN"/>
        </w:rPr>
        <w:t>2</w:t>
      </w:r>
      <w:r>
        <w:rPr>
          <w:rFonts w:hint="eastAsia" w:ascii="宋体" w:hAnsi="宋体" w:cs="仿宋_GB2312"/>
          <w:color w:val="auto"/>
          <w:kern w:val="0"/>
          <w:sz w:val="24"/>
          <w:szCs w:val="24"/>
          <w:highlight w:val="none"/>
          <w:lang w:eastAsia="zh-CN"/>
        </w:rPr>
        <w:t>）</w:t>
      </w:r>
      <w:r>
        <w:rPr>
          <w:rFonts w:hint="eastAsia" w:ascii="宋体" w:hAnsi="宋体" w:cs="仿宋_GB2312"/>
          <w:color w:val="auto"/>
          <w:kern w:val="0"/>
          <w:sz w:val="24"/>
          <w:szCs w:val="24"/>
          <w:highlight w:val="none"/>
        </w:rPr>
        <w:t>中标供应商于20</w:t>
      </w:r>
      <w:r>
        <w:rPr>
          <w:rFonts w:hint="eastAsia" w:ascii="宋体" w:hAnsi="宋体" w:cs="仿宋_GB2312"/>
          <w:color w:val="auto"/>
          <w:kern w:val="0"/>
          <w:sz w:val="24"/>
          <w:szCs w:val="24"/>
          <w:highlight w:val="none"/>
          <w:lang w:val="en-US" w:eastAsia="zh-CN"/>
        </w:rPr>
        <w:t>20</w:t>
      </w:r>
      <w:r>
        <w:rPr>
          <w:rFonts w:hint="eastAsia" w:ascii="宋体" w:hAnsi="宋体" w:cs="仿宋_GB2312"/>
          <w:color w:val="auto"/>
          <w:kern w:val="0"/>
          <w:sz w:val="24"/>
          <w:szCs w:val="24"/>
          <w:highlight w:val="none"/>
        </w:rPr>
        <w:t>年</w:t>
      </w:r>
      <w:r>
        <w:rPr>
          <w:rFonts w:hint="eastAsia" w:ascii="宋体" w:hAnsi="宋体" w:cs="仿宋_GB2312"/>
          <w:color w:val="auto"/>
          <w:kern w:val="0"/>
          <w:sz w:val="24"/>
          <w:szCs w:val="24"/>
          <w:highlight w:val="none"/>
          <w:lang w:val="en-US" w:eastAsia="zh-CN"/>
        </w:rPr>
        <w:t>12</w:t>
      </w:r>
      <w:r>
        <w:rPr>
          <w:rFonts w:hint="eastAsia" w:ascii="宋体" w:hAnsi="宋体" w:cs="仿宋_GB2312"/>
          <w:color w:val="auto"/>
          <w:kern w:val="0"/>
          <w:sz w:val="24"/>
          <w:szCs w:val="24"/>
          <w:highlight w:val="none"/>
        </w:rPr>
        <w:t>月31日前通过项目中期专家评审后，采购人在15个工作日内向中标供应商支付合同总金额的40%；</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lang w:val="en-US" w:eastAsia="zh-CN"/>
        </w:rPr>
        <w:t>3</w:t>
      </w:r>
      <w:r>
        <w:rPr>
          <w:rFonts w:hint="eastAsia" w:ascii="宋体" w:hAnsi="宋体" w:cs="仿宋_GB2312"/>
          <w:color w:val="auto"/>
          <w:kern w:val="0"/>
          <w:sz w:val="24"/>
          <w:szCs w:val="24"/>
          <w:lang w:eastAsia="zh-CN"/>
        </w:rPr>
        <w:t>）</w:t>
      </w:r>
      <w:r>
        <w:rPr>
          <w:rFonts w:hint="eastAsia" w:ascii="宋体" w:hAnsi="宋体" w:cs="仿宋_GB2312"/>
          <w:color w:val="auto"/>
          <w:kern w:val="0"/>
          <w:sz w:val="24"/>
          <w:szCs w:val="24"/>
        </w:rPr>
        <w:t>中标供应商于20</w:t>
      </w:r>
      <w:r>
        <w:rPr>
          <w:rFonts w:hint="eastAsia" w:ascii="宋体" w:hAnsi="宋体" w:cs="仿宋_GB2312"/>
          <w:color w:val="auto"/>
          <w:kern w:val="0"/>
          <w:sz w:val="24"/>
          <w:szCs w:val="24"/>
          <w:lang w:val="en-US" w:eastAsia="zh-CN"/>
        </w:rPr>
        <w:t>21</w:t>
      </w:r>
      <w:r>
        <w:rPr>
          <w:rFonts w:hint="eastAsia" w:ascii="宋体" w:hAnsi="宋体" w:cs="仿宋_GB2312"/>
          <w:color w:val="auto"/>
          <w:kern w:val="0"/>
          <w:sz w:val="24"/>
          <w:szCs w:val="24"/>
        </w:rPr>
        <w:t>年</w:t>
      </w:r>
      <w:r>
        <w:rPr>
          <w:rFonts w:hint="eastAsia" w:ascii="宋体" w:hAnsi="宋体" w:cs="仿宋_GB2312"/>
          <w:color w:val="auto"/>
          <w:kern w:val="0"/>
          <w:sz w:val="24"/>
          <w:szCs w:val="24"/>
          <w:lang w:val="en-US" w:eastAsia="zh-CN"/>
        </w:rPr>
        <w:t>7</w:t>
      </w:r>
      <w:r>
        <w:rPr>
          <w:rFonts w:hint="eastAsia" w:ascii="宋体" w:hAnsi="宋体" w:cs="仿宋_GB2312"/>
          <w:color w:val="auto"/>
          <w:kern w:val="0"/>
          <w:sz w:val="24"/>
          <w:szCs w:val="24"/>
        </w:rPr>
        <w:t>月31日前通过项目终期成果评审（以专家出具的评审验收意见为准），</w:t>
      </w:r>
      <w:r>
        <w:rPr>
          <w:rFonts w:hint="eastAsia" w:ascii="宋体" w:hAnsi="宋体" w:cs="宋体"/>
          <w:color w:val="auto"/>
          <w:kern w:val="0"/>
          <w:sz w:val="24"/>
          <w:szCs w:val="24"/>
        </w:rPr>
        <w:t>采购人出具项目结题验收函，成果经采购人档案管理部门录入归档后，</w:t>
      </w:r>
      <w:r>
        <w:rPr>
          <w:rFonts w:hint="eastAsia" w:ascii="宋体" w:hAnsi="宋体" w:cs="仿宋_GB2312"/>
          <w:color w:val="auto"/>
          <w:kern w:val="0"/>
          <w:sz w:val="24"/>
          <w:szCs w:val="24"/>
        </w:rPr>
        <w:t>采购人在15个工作日内向中标供应商支付合同总金额的10%。</w:t>
      </w:r>
    </w:p>
    <w:p>
      <w:pPr>
        <w:widowControl/>
        <w:tabs>
          <w:tab w:val="left" w:pos="420"/>
        </w:tabs>
        <w:spacing w:line="360" w:lineRule="auto"/>
        <w:ind w:firstLine="482" w:firstLineChars="200"/>
        <w:jc w:val="left"/>
        <w:rPr>
          <w:rFonts w:ascii="宋体" w:hAnsi="Times New Roman" w:cs="仿宋_GB2312"/>
          <w:b/>
          <w:color w:val="auto"/>
          <w:kern w:val="0"/>
          <w:sz w:val="24"/>
          <w:szCs w:val="24"/>
        </w:rPr>
      </w:pPr>
      <w:r>
        <w:rPr>
          <w:rFonts w:hint="eastAsia" w:ascii="宋体" w:hAnsi="宋体" w:cs="仿宋_GB2312"/>
          <w:b/>
          <w:color w:val="auto"/>
          <w:kern w:val="0"/>
          <w:sz w:val="24"/>
          <w:szCs w:val="24"/>
        </w:rPr>
        <w:t>因采购人使用的是财政资金，</w:t>
      </w:r>
      <w:r>
        <w:rPr>
          <w:rFonts w:hint="eastAsia" w:ascii="宋体" w:hAnsi="宋体" w:cs="宋体"/>
          <w:b/>
          <w:color w:val="auto"/>
          <w:kern w:val="0"/>
          <w:sz w:val="24"/>
          <w:szCs w:val="24"/>
          <w:lang w:val="zh-CN"/>
        </w:rPr>
        <w:t>采购人在规定的付款时间内向</w:t>
      </w:r>
      <w:r>
        <w:rPr>
          <w:rFonts w:hint="eastAsia" w:ascii="宋体" w:hAnsi="宋体" w:cs="仿宋_GB2312"/>
          <w:b/>
          <w:color w:val="auto"/>
          <w:kern w:val="0"/>
          <w:sz w:val="24"/>
          <w:szCs w:val="24"/>
        </w:rPr>
        <w:t>相关财政部门</w:t>
      </w:r>
      <w:r>
        <w:rPr>
          <w:rFonts w:hint="eastAsia" w:ascii="宋体" w:hAnsi="宋体" w:cs="宋体"/>
          <w:b/>
          <w:color w:val="auto"/>
          <w:kern w:val="0"/>
          <w:sz w:val="24"/>
          <w:szCs w:val="24"/>
          <w:lang w:val="zh-CN"/>
        </w:rPr>
        <w:t>申请支付手续，</w:t>
      </w:r>
      <w:r>
        <w:rPr>
          <w:rFonts w:hint="eastAsia" w:ascii="宋体" w:hAnsi="宋体" w:cs="仿宋_GB2312"/>
          <w:b/>
          <w:color w:val="auto"/>
          <w:kern w:val="0"/>
          <w:sz w:val="24"/>
          <w:szCs w:val="24"/>
        </w:rPr>
        <w:t>最终的款项支付时间以财政部门下达资金的时间为准，由此原因造成的延期付款免责。</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47" w:name="_Toc463969171"/>
      <w:bookmarkStart w:id="48" w:name="_Toc5583"/>
      <w:bookmarkStart w:id="49" w:name="_Toc463969446"/>
      <w:bookmarkStart w:id="50" w:name="_Toc507426186"/>
      <w:bookmarkStart w:id="51" w:name="_Toc476140384"/>
      <w:bookmarkStart w:id="52" w:name="_Toc536713469"/>
      <w:r>
        <w:rPr>
          <w:rFonts w:hint="eastAsia" w:ascii="宋体" w:hAnsi="宋体"/>
          <w:b/>
          <w:bCs/>
          <w:color w:val="auto"/>
          <w:kern w:val="0"/>
          <w:sz w:val="30"/>
          <w:szCs w:val="30"/>
          <w:lang w:val="zh-CN" w:eastAsia="zh-CN"/>
        </w:rPr>
        <w:t>成果所有权</w:t>
      </w:r>
      <w:bookmarkEnd w:id="47"/>
      <w:bookmarkEnd w:id="48"/>
      <w:bookmarkEnd w:id="49"/>
      <w:bookmarkEnd w:id="50"/>
      <w:bookmarkEnd w:id="51"/>
      <w:bookmarkEnd w:id="52"/>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1.项目的所有成果，知识产权归采购人所有。</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2.中标人非经采购人书面同意，不得以任何方式向第三方披露、转让和许可本项目的技术成果、技术资料和文件。如中标人违反本条规定的，除立即停止违约行为外，还应赔偿采购人的损失。</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3.中标人应保证提供的成果不侵犯任何第三方的知识产权。</w:t>
      </w:r>
    </w:p>
    <w:p>
      <w:pPr>
        <w:keepNext/>
        <w:keepLines/>
        <w:widowControl/>
        <w:numPr>
          <w:ilvl w:val="0"/>
          <w:numId w:val="1"/>
        </w:numPr>
        <w:tabs>
          <w:tab w:val="left" w:pos="709"/>
        </w:tabs>
        <w:spacing w:before="312"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53" w:name="_Toc507426187"/>
      <w:bookmarkStart w:id="54" w:name="_Toc29233"/>
      <w:bookmarkStart w:id="55" w:name="_Toc536713470"/>
      <w:r>
        <w:rPr>
          <w:rFonts w:hint="eastAsia" w:ascii="宋体" w:hAnsi="宋体"/>
          <w:b/>
          <w:bCs/>
          <w:color w:val="auto"/>
          <w:kern w:val="0"/>
          <w:sz w:val="30"/>
          <w:szCs w:val="30"/>
          <w:lang w:val="zh-CN" w:eastAsia="zh-CN"/>
        </w:rPr>
        <w:t>成果安全与保密</w:t>
      </w:r>
      <w:bookmarkEnd w:id="53"/>
      <w:bookmarkEnd w:id="54"/>
      <w:bookmarkEnd w:id="55"/>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1.本项目涉及的保密数据和资料包括作业过程资料和采购人在项目过程中确认的需要保密的其他信息及资料。</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2.本项目所涉及的保密数据和资料，仅限于中标供应商在本项目在合同期内部使用，只能用于本项目，不得用于其它用途，不得向第三方提供。</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3.中标供应商须按国家相关法律法规的要求，制定数据安全保密措施，严防泄密，并在项目结束后销毁所有相关数据，不得保留备份。</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4.中标供应商不得将涉密数据在计算机互联网、政务网等非涉密网络上传输、登载。</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5.中标供应商发生涉密数据外传、丢失、被盗或者造成泄密事故的，应采取有效措施，及时补救，并及时向采购人报告；造成的后果，由中标供应商承担所有责任。</w:t>
      </w:r>
    </w:p>
    <w:p>
      <w:pPr>
        <w:keepNext/>
        <w:keepLines/>
        <w:widowControl/>
        <w:numPr>
          <w:ilvl w:val="0"/>
          <w:numId w:val="1"/>
        </w:numPr>
        <w:tabs>
          <w:tab w:val="left" w:pos="709"/>
        </w:tabs>
        <w:spacing w:before="240" w:beforeLines="100" w:line="413" w:lineRule="auto"/>
        <w:ind w:left="420" w:leftChars="0" w:hanging="420" w:firstLineChars="0"/>
        <w:jc w:val="left"/>
        <w:outlineLvl w:val="0"/>
        <w:rPr>
          <w:rFonts w:ascii="宋体" w:hAnsi="宋体"/>
          <w:b/>
          <w:bCs/>
          <w:color w:val="auto"/>
          <w:kern w:val="0"/>
          <w:sz w:val="30"/>
          <w:szCs w:val="30"/>
          <w:lang w:val="zh-CN" w:eastAsia="zh-CN"/>
        </w:rPr>
      </w:pPr>
      <w:bookmarkStart w:id="56" w:name="_Toc3501"/>
      <w:bookmarkStart w:id="57" w:name="_Toc476140386"/>
      <w:bookmarkStart w:id="58" w:name="_Toc463969448"/>
      <w:bookmarkStart w:id="59" w:name="_Toc463969173"/>
      <w:bookmarkStart w:id="60" w:name="_Toc536713471"/>
      <w:bookmarkStart w:id="61" w:name="_Toc507426188"/>
      <w:r>
        <w:rPr>
          <w:rFonts w:hint="eastAsia" w:ascii="宋体" w:hAnsi="宋体"/>
          <w:b/>
          <w:bCs/>
          <w:color w:val="auto"/>
          <w:kern w:val="0"/>
          <w:sz w:val="30"/>
          <w:szCs w:val="30"/>
          <w:lang w:val="zh-CN" w:eastAsia="zh-CN"/>
        </w:rPr>
        <w:t>违约责任</w:t>
      </w:r>
      <w:bookmarkEnd w:id="56"/>
      <w:bookmarkEnd w:id="57"/>
      <w:bookmarkEnd w:id="58"/>
      <w:bookmarkEnd w:id="59"/>
      <w:bookmarkEnd w:id="60"/>
      <w:bookmarkEnd w:id="61"/>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1.服务期间，中标供应商未能按合同的规定履行义务的，采购人有权通知中标供应商限期整改，中标供应商不整改或整改不符合采购人要求的，采购人有权解除委托服务合同，中标供应商应向采购人支付相当于服务费用全额</w:t>
      </w:r>
      <w:r>
        <w:rPr>
          <w:rFonts w:ascii="宋体" w:hAnsi="宋体" w:cs="仿宋_GB2312"/>
          <w:color w:val="auto"/>
          <w:kern w:val="0"/>
          <w:sz w:val="24"/>
          <w:szCs w:val="24"/>
        </w:rPr>
        <w:t>10%</w:t>
      </w:r>
      <w:r>
        <w:rPr>
          <w:rFonts w:hint="eastAsia" w:ascii="宋体" w:hAnsi="宋体" w:cs="仿宋_GB2312"/>
          <w:color w:val="auto"/>
          <w:kern w:val="0"/>
          <w:sz w:val="24"/>
          <w:szCs w:val="24"/>
        </w:rPr>
        <w:t>的违约金。</w:t>
      </w:r>
    </w:p>
    <w:p>
      <w:pPr>
        <w:widowControl/>
        <w:tabs>
          <w:tab w:val="left" w:pos="420"/>
        </w:tabs>
        <w:spacing w:line="360" w:lineRule="auto"/>
        <w:ind w:firstLine="480" w:firstLineChars="200"/>
        <w:jc w:val="left"/>
        <w:rPr>
          <w:rFonts w:ascii="宋体" w:hAnsi="宋体" w:cs="仿宋_GB2312"/>
          <w:color w:val="auto"/>
          <w:kern w:val="0"/>
          <w:sz w:val="24"/>
          <w:szCs w:val="24"/>
        </w:rPr>
      </w:pPr>
      <w:r>
        <w:rPr>
          <w:rFonts w:hint="eastAsia" w:ascii="宋体" w:hAnsi="宋体" w:cs="仿宋_GB2312"/>
          <w:color w:val="auto"/>
          <w:kern w:val="0"/>
          <w:sz w:val="24"/>
          <w:szCs w:val="24"/>
        </w:rPr>
        <w:t>2.无论何种原因造成合同的终止、解除，中标供应商在接到采购人的书面通知后，应积极配合采购人完成交接工作，不得以任何理由拖延办理交接手续，不得以任何理由滞留服务场地，否则中标供应商应向采购人支付相当于服务费用全额</w:t>
      </w:r>
      <w:r>
        <w:rPr>
          <w:rFonts w:ascii="宋体" w:hAnsi="宋体" w:cs="仿宋_GB2312"/>
          <w:color w:val="auto"/>
          <w:kern w:val="0"/>
          <w:sz w:val="24"/>
          <w:szCs w:val="24"/>
        </w:rPr>
        <w:t>10%</w:t>
      </w:r>
      <w:r>
        <w:rPr>
          <w:rFonts w:hint="eastAsia" w:ascii="宋体" w:hAnsi="宋体" w:cs="仿宋_GB2312"/>
          <w:color w:val="auto"/>
          <w:kern w:val="0"/>
          <w:sz w:val="24"/>
          <w:szCs w:val="24"/>
        </w:rPr>
        <w:t>的违约金。</w:t>
      </w:r>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p>
  <w:p>
    <w:pPr>
      <w:pStyle w:val="3"/>
      <w:jc w:val="right"/>
    </w:pPr>
    <w:r>
      <w:rPr>
        <w:rFonts w:hint="eastAsia"/>
      </w:rPr>
      <w:t>城维计划-广州市边坡危岩体调查评价与防治规划应对策略项目采购需求书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031A8"/>
    <w:multiLevelType w:val="singleLevel"/>
    <w:tmpl w:val="A4A031A8"/>
    <w:lvl w:ilvl="0" w:tentative="0">
      <w:start w:val="3"/>
      <w:numFmt w:val="decimal"/>
      <w:suff w:val="space"/>
      <w:lvlText w:val="%1."/>
      <w:lvlJc w:val="left"/>
    </w:lvl>
  </w:abstractNum>
  <w:abstractNum w:abstractNumId="1">
    <w:nsid w:val="A7EC8376"/>
    <w:multiLevelType w:val="singleLevel"/>
    <w:tmpl w:val="A7EC8376"/>
    <w:lvl w:ilvl="0" w:tentative="0">
      <w:start w:val="1"/>
      <w:numFmt w:val="decimal"/>
      <w:lvlText w:val="%1."/>
      <w:lvlJc w:val="left"/>
      <w:pPr>
        <w:tabs>
          <w:tab w:val="left" w:pos="312"/>
        </w:tabs>
      </w:pPr>
    </w:lvl>
  </w:abstractNum>
  <w:abstractNum w:abstractNumId="2">
    <w:nsid w:val="CF2EDD88"/>
    <w:multiLevelType w:val="multilevel"/>
    <w:tmpl w:val="CF2EDD88"/>
    <w:lvl w:ilvl="0" w:tentative="0">
      <w:start w:val="1"/>
      <w:numFmt w:val="chineseCountingThousand"/>
      <w:suff w:val="nothing"/>
      <w:lvlText w:val="%1、"/>
      <w:lvlJc w:val="left"/>
      <w:pPr>
        <w:ind w:left="420" w:hanging="420"/>
      </w:pPr>
      <w:rPr>
        <w:rFonts w:hint="eastAsia" w:ascii="宋体" w:hAnsi="宋体" w:eastAsia="宋体" w:cs="Times New Roman"/>
        <w:b/>
        <w:sz w:val="30"/>
        <w:szCs w:val="3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16B46010"/>
    <w:multiLevelType w:val="singleLevel"/>
    <w:tmpl w:val="16B46010"/>
    <w:lvl w:ilvl="0" w:tentative="0">
      <w:start w:val="1"/>
      <w:numFmt w:val="decimal"/>
      <w:suff w:val="nothing"/>
      <w:lvlText w:val="（%1）"/>
      <w:lvlJc w:val="left"/>
    </w:lvl>
  </w:abstractNum>
  <w:abstractNum w:abstractNumId="4">
    <w:nsid w:val="3316F562"/>
    <w:multiLevelType w:val="singleLevel"/>
    <w:tmpl w:val="3316F562"/>
    <w:lvl w:ilvl="0" w:tentative="0">
      <w:start w:val="1"/>
      <w:numFmt w:val="decimal"/>
      <w:suff w:val="nothing"/>
      <w:lvlText w:val="%1．"/>
      <w:lvlJc w:val="left"/>
    </w:lvl>
  </w:abstractNum>
  <w:abstractNum w:abstractNumId="5">
    <w:nsid w:val="7626DDC2"/>
    <w:multiLevelType w:val="singleLevel"/>
    <w:tmpl w:val="7626DDC2"/>
    <w:lvl w:ilvl="0" w:tentative="0">
      <w:start w:val="1"/>
      <w:numFmt w:val="decimal"/>
      <w:suff w:val="space"/>
      <w:lvlText w:val="%1."/>
      <w:lvlJc w:val="left"/>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2F"/>
    <w:rsid w:val="00621197"/>
    <w:rsid w:val="009F6736"/>
    <w:rsid w:val="00A1092F"/>
    <w:rsid w:val="021658D0"/>
    <w:rsid w:val="036A3DE8"/>
    <w:rsid w:val="03BA1E46"/>
    <w:rsid w:val="03FF0717"/>
    <w:rsid w:val="06407E82"/>
    <w:rsid w:val="07E2084C"/>
    <w:rsid w:val="09E10B66"/>
    <w:rsid w:val="0A9A6C3C"/>
    <w:rsid w:val="0B907B1E"/>
    <w:rsid w:val="0BF65E70"/>
    <w:rsid w:val="0BFA0F04"/>
    <w:rsid w:val="0E074DC8"/>
    <w:rsid w:val="101E4EFB"/>
    <w:rsid w:val="1034139C"/>
    <w:rsid w:val="10C93414"/>
    <w:rsid w:val="12221F6C"/>
    <w:rsid w:val="13B1082F"/>
    <w:rsid w:val="18BD6BEB"/>
    <w:rsid w:val="1A7963CE"/>
    <w:rsid w:val="1AD81039"/>
    <w:rsid w:val="1BF30815"/>
    <w:rsid w:val="1C613ADE"/>
    <w:rsid w:val="1D030250"/>
    <w:rsid w:val="1D75410D"/>
    <w:rsid w:val="1E077DCE"/>
    <w:rsid w:val="1E2B2FEC"/>
    <w:rsid w:val="1E8F5FFC"/>
    <w:rsid w:val="1EFA6F5D"/>
    <w:rsid w:val="1F965933"/>
    <w:rsid w:val="20B128A4"/>
    <w:rsid w:val="20BE6167"/>
    <w:rsid w:val="217C1146"/>
    <w:rsid w:val="21E01C5B"/>
    <w:rsid w:val="22F23C04"/>
    <w:rsid w:val="230876F0"/>
    <w:rsid w:val="234451B9"/>
    <w:rsid w:val="23DB7B8B"/>
    <w:rsid w:val="25D41AD2"/>
    <w:rsid w:val="26135B1A"/>
    <w:rsid w:val="285326BF"/>
    <w:rsid w:val="288B4472"/>
    <w:rsid w:val="28CB02AB"/>
    <w:rsid w:val="2A30646E"/>
    <w:rsid w:val="2A465B15"/>
    <w:rsid w:val="2B161F96"/>
    <w:rsid w:val="2C736EB8"/>
    <w:rsid w:val="2D6D0B14"/>
    <w:rsid w:val="2D772884"/>
    <w:rsid w:val="2E7314DE"/>
    <w:rsid w:val="2F286C09"/>
    <w:rsid w:val="32AF34B6"/>
    <w:rsid w:val="340B70D2"/>
    <w:rsid w:val="34542EBB"/>
    <w:rsid w:val="3610384F"/>
    <w:rsid w:val="365F6ACB"/>
    <w:rsid w:val="36600F21"/>
    <w:rsid w:val="378D185A"/>
    <w:rsid w:val="38305BFA"/>
    <w:rsid w:val="3B383546"/>
    <w:rsid w:val="3D905E7D"/>
    <w:rsid w:val="3D95785F"/>
    <w:rsid w:val="3ED7754E"/>
    <w:rsid w:val="3F9B16A8"/>
    <w:rsid w:val="3FCC6A6D"/>
    <w:rsid w:val="40635D10"/>
    <w:rsid w:val="43975409"/>
    <w:rsid w:val="45376A11"/>
    <w:rsid w:val="465F3340"/>
    <w:rsid w:val="466A132A"/>
    <w:rsid w:val="469B671A"/>
    <w:rsid w:val="46F74535"/>
    <w:rsid w:val="481054D8"/>
    <w:rsid w:val="48AF57D1"/>
    <w:rsid w:val="48F51E0E"/>
    <w:rsid w:val="4A8B544E"/>
    <w:rsid w:val="4AA61346"/>
    <w:rsid w:val="4B7A3C85"/>
    <w:rsid w:val="4C6211C1"/>
    <w:rsid w:val="4D283BDE"/>
    <w:rsid w:val="528C0D20"/>
    <w:rsid w:val="53546209"/>
    <w:rsid w:val="57DC77D1"/>
    <w:rsid w:val="580777CD"/>
    <w:rsid w:val="59D8543D"/>
    <w:rsid w:val="5A4D7E04"/>
    <w:rsid w:val="5EC522A9"/>
    <w:rsid w:val="5ED33764"/>
    <w:rsid w:val="5F090688"/>
    <w:rsid w:val="612D0AE9"/>
    <w:rsid w:val="647401FD"/>
    <w:rsid w:val="64A30AC3"/>
    <w:rsid w:val="64CC7370"/>
    <w:rsid w:val="6571214F"/>
    <w:rsid w:val="65B502C0"/>
    <w:rsid w:val="65F2007E"/>
    <w:rsid w:val="66A71413"/>
    <w:rsid w:val="680C5734"/>
    <w:rsid w:val="686335FF"/>
    <w:rsid w:val="6A262B09"/>
    <w:rsid w:val="6BDA0FE1"/>
    <w:rsid w:val="6C302FEE"/>
    <w:rsid w:val="6E0D3643"/>
    <w:rsid w:val="6E682030"/>
    <w:rsid w:val="70496A38"/>
    <w:rsid w:val="7056650D"/>
    <w:rsid w:val="720C77C4"/>
    <w:rsid w:val="72AC67AA"/>
    <w:rsid w:val="741A7BF9"/>
    <w:rsid w:val="75970592"/>
    <w:rsid w:val="75F50B9E"/>
    <w:rsid w:val="769E6DD6"/>
    <w:rsid w:val="78AC739B"/>
    <w:rsid w:val="78CD3619"/>
    <w:rsid w:val="79BB6E1A"/>
    <w:rsid w:val="7A6D0529"/>
    <w:rsid w:val="7B315461"/>
    <w:rsid w:val="7C3B2CEB"/>
    <w:rsid w:val="7E5464E2"/>
    <w:rsid w:val="7E7B353E"/>
    <w:rsid w:val="7EE07850"/>
    <w:rsid w:val="7EEC2BCD"/>
    <w:rsid w:val="7F23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WPSOffice手动目录 1"/>
    <w:qFormat/>
    <w:uiPriority w:val="0"/>
    <w:pPr>
      <w:ind w:leftChars="0"/>
    </w:pPr>
    <w:rPr>
      <w:rFonts w:ascii="等线" w:hAnsi="等线" w:eastAsia="等线"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637</Words>
  <Characters>3632</Characters>
  <Lines>30</Lines>
  <Paragraphs>8</Paragraphs>
  <TotalTime>37</TotalTime>
  <ScaleCrop>false</ScaleCrop>
  <LinksUpToDate>false</LinksUpToDate>
  <CharactersWithSpaces>4261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2019-12-26T01:52:00Z</dcterms:created>
  <dc:creator>Administrator</dc:creator>
  <cp:lastModifiedBy>楼康明</cp:lastModifiedBy>
  <dcterms:modified xsi:type="dcterms:W3CDTF">2020-01-03T04:06:40Z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