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44"/>
          <w:szCs w:val="44"/>
          <w:highlight w:val="none"/>
          <w:lang w:val="en-US" w:eastAsia="zh-CN"/>
        </w:rPr>
        <w:t>广东省海砂开采市场化出让工作流程图</w:t>
      </w:r>
    </w:p>
    <w:bookmarkEnd w:id="0"/>
    <w:p>
      <w:r>
        <w:rPr>
          <w:rFonts w:hint="default" w:ascii="Times New Roman" w:hAnsi="Times New Roman" w:cs="Times New Roman"/>
          <w:b w:val="0"/>
          <w:bCs w:val="0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8768080" cy="4338955"/>
            <wp:effectExtent l="0" t="0" r="13970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rcRect t="4449" b="6804"/>
                    <a:stretch>
                      <a:fillRect/>
                    </a:stretch>
                  </pic:blipFill>
                  <pic:spPr>
                    <a:xfrm>
                      <a:off x="0" y="0"/>
                      <a:ext cx="8768080" cy="433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B7EEB"/>
    <w:rsid w:val="720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2022-03-23T09:40:00Z</dcterms:created>
  <dc:creator>NTKO</dc:creator>
  <cp:lastModifiedBy>NTKO</cp:lastModifiedBy>
  <dcterms:modified xsi:type="dcterms:W3CDTF">2022-03-23T09:41:01Z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