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Pr>
      <w:bookmarkStart w:id="0" w:name="_Toc49719357"/>
      <w:bookmarkStart w:id="1" w:name="_Toc23213"/>
      <w:r>
        <w:rPr>
          <w:rFonts w:hint="eastAsia"/>
        </w:rPr>
        <w:t>广州市城市更新实现产城融合职住平衡</w:t>
      </w:r>
      <w:bookmarkEnd w:id="0"/>
      <w:bookmarkEnd w:id="1"/>
    </w:p>
    <w:p>
      <w:pPr>
        <w:spacing w:line="600" w:lineRule="exact"/>
        <w:jc w:val="center"/>
        <w:rPr>
          <w:rFonts w:eastAsia="方正小标宋简体"/>
          <w:bCs/>
          <w:kern w:val="44"/>
          <w:sz w:val="44"/>
          <w:szCs w:val="44"/>
        </w:rPr>
      </w:pPr>
      <w:bookmarkStart w:id="2" w:name="_Toc46866921"/>
      <w:bookmarkStart w:id="3" w:name="_Toc10934"/>
      <w:bookmarkStart w:id="4" w:name="_Toc30158"/>
      <w:bookmarkStart w:id="5" w:name="_Toc26297"/>
      <w:bookmarkStart w:id="6" w:name="_Toc11250"/>
      <w:r>
        <w:rPr>
          <w:rFonts w:hint="eastAsia" w:eastAsia="方正小标宋简体"/>
          <w:bCs/>
          <w:kern w:val="44"/>
          <w:sz w:val="44"/>
          <w:szCs w:val="44"/>
        </w:rPr>
        <w:t>的操作指引</w:t>
      </w:r>
      <w:bookmarkEnd w:id="2"/>
      <w:bookmarkEnd w:id="3"/>
      <w:bookmarkEnd w:id="4"/>
      <w:bookmarkEnd w:id="5"/>
      <w:bookmarkEnd w:id="6"/>
    </w:p>
    <w:p>
      <w:pPr>
        <w:spacing w:line="560" w:lineRule="exact"/>
        <w:jc w:val="center"/>
      </w:pPr>
      <w:r>
        <w:rPr>
          <w:rFonts w:hint="eastAsia" w:ascii="楷体_GB2312" w:hAnsi="楷体_GB2312" w:eastAsia="楷体_GB2312" w:cs="楷体_GB2312"/>
          <w:b/>
          <w:bCs/>
          <w:sz w:val="30"/>
          <w:szCs w:val="30"/>
        </w:rPr>
        <w:t>（</w:t>
      </w:r>
      <w:r>
        <w:rPr>
          <w:rFonts w:hint="eastAsia" w:ascii="楷体_GB2312" w:hAnsi="楷体_GB2312" w:eastAsia="楷体_GB2312" w:cs="楷体_GB2312"/>
          <w:b/>
          <w:bCs/>
          <w:sz w:val="30"/>
          <w:szCs w:val="30"/>
          <w:lang w:val="en-US" w:eastAsia="zh-CN"/>
        </w:rPr>
        <w:t>2022年</w:t>
      </w:r>
      <w:r>
        <w:rPr>
          <w:rFonts w:hint="eastAsia" w:ascii="楷体_GB2312" w:hAnsi="楷体_GB2312" w:eastAsia="楷体_GB2312" w:cs="楷体_GB2312"/>
          <w:b/>
          <w:bCs/>
          <w:sz w:val="30"/>
          <w:szCs w:val="30"/>
        </w:rPr>
        <w:t>修订稿</w:t>
      </w:r>
      <w:bookmarkStart w:id="7" w:name="_GoBack"/>
      <w:bookmarkEnd w:id="7"/>
      <w:r>
        <w:rPr>
          <w:rFonts w:hint="eastAsia" w:ascii="楷体_GB2312" w:hAnsi="楷体_GB2312" w:eastAsia="楷体_GB2312" w:cs="楷体_GB2312"/>
          <w:b/>
          <w:bCs/>
          <w:sz w:val="30"/>
          <w:szCs w:val="30"/>
        </w:rPr>
        <w:t>）</w:t>
      </w:r>
    </w:p>
    <w:p>
      <w:pPr>
        <w:overflowPunct w:val="0"/>
        <w:spacing w:line="400" w:lineRule="exact"/>
        <w:jc w:val="center"/>
        <w:rPr>
          <w:rFonts w:ascii="方正小标宋简体" w:hAnsi="黑体" w:eastAsia="方正小标宋简体"/>
          <w:sz w:val="44"/>
          <w:szCs w:val="44"/>
        </w:rPr>
      </w:pPr>
    </w:p>
    <w:p>
      <w:pPr>
        <w:overflowPunct w:val="0"/>
        <w:spacing w:line="540" w:lineRule="exact"/>
        <w:ind w:firstLine="640" w:firstLineChars="200"/>
        <w:rPr>
          <w:rFonts w:eastAsia="黑体"/>
          <w:bCs/>
          <w:szCs w:val="32"/>
        </w:rPr>
      </w:pPr>
      <w:r>
        <w:rPr>
          <w:rFonts w:eastAsia="黑体"/>
          <w:bCs/>
          <w:szCs w:val="32"/>
        </w:rPr>
        <w:t>一、工作目标</w:t>
      </w:r>
    </w:p>
    <w:p>
      <w:pPr>
        <w:overflowPunct w:val="0"/>
        <w:spacing w:line="540" w:lineRule="exact"/>
        <w:ind w:firstLine="640" w:firstLineChars="200"/>
        <w:jc w:val="left"/>
        <w:rPr>
          <w:bCs/>
          <w:szCs w:val="32"/>
        </w:rPr>
      </w:pPr>
      <w:r>
        <w:rPr>
          <w:szCs w:val="32"/>
        </w:rPr>
        <w:t>为落实新发展理念，推动广州</w:t>
      </w:r>
      <w:r>
        <w:t>实现老城市新活力</w:t>
      </w:r>
      <w:r>
        <w:rPr>
          <w:rFonts w:hint="eastAsia"/>
        </w:rPr>
        <w:t>、</w:t>
      </w:r>
      <w:r>
        <w:rPr>
          <w:rFonts w:hint="eastAsia"/>
          <w:szCs w:val="32"/>
        </w:rPr>
        <w:t>“</w:t>
      </w:r>
      <w:r>
        <w:rPr>
          <w:szCs w:val="32"/>
        </w:rPr>
        <w:t>四个出新出彩</w:t>
      </w:r>
      <w:r>
        <w:rPr>
          <w:rFonts w:hint="eastAsia"/>
          <w:szCs w:val="32"/>
        </w:rPr>
        <w:t>”</w:t>
      </w:r>
      <w:r>
        <w:rPr>
          <w:szCs w:val="32"/>
        </w:rPr>
        <w:t>，以国土空间总体规划为指导，</w:t>
      </w:r>
      <w:r>
        <w:rPr>
          <w:rFonts w:hint="eastAsia"/>
          <w:szCs w:val="32"/>
        </w:rPr>
        <w:t>以产业发展规划为依据，</w:t>
      </w:r>
      <w:r>
        <w:rPr>
          <w:szCs w:val="32"/>
        </w:rPr>
        <w:t>以城市更新为重要抓手，实施创新驱动发展战略，加快现代服务业提升，推动建立具有国际竞争力的创新型现代化产业体系，营造国际化现代化营商环境，打造产城融合、宜居宜业的国际大都市。</w:t>
      </w:r>
    </w:p>
    <w:p>
      <w:pPr>
        <w:overflowPunct w:val="0"/>
        <w:spacing w:line="540" w:lineRule="exact"/>
        <w:ind w:firstLine="640" w:firstLineChars="200"/>
        <w:rPr>
          <w:rFonts w:eastAsia="黑体"/>
          <w:bCs/>
          <w:szCs w:val="32"/>
        </w:rPr>
      </w:pPr>
      <w:r>
        <w:rPr>
          <w:rFonts w:eastAsia="黑体"/>
          <w:bCs/>
          <w:szCs w:val="32"/>
        </w:rPr>
        <w:t>二、工作依据</w:t>
      </w:r>
    </w:p>
    <w:p>
      <w:pPr>
        <w:overflowPunct w:val="0"/>
        <w:spacing w:line="540" w:lineRule="exact"/>
        <w:ind w:firstLine="640" w:firstLineChars="200"/>
        <w:rPr>
          <w:szCs w:val="32"/>
        </w:rPr>
      </w:pPr>
      <w:r>
        <w:rPr>
          <w:szCs w:val="32"/>
        </w:rPr>
        <w:t>对标纽约、伦敦、东京、新加坡等世界一线城市，其发展过程均高度重视产业配比，节约集约用地，实现产业空间的有效集聚，促进城市品质提升、就业和产业结构升级，吸引全球优质企业和人才资源，保障城市在世界的领先地位。</w:t>
      </w:r>
    </w:p>
    <w:p>
      <w:pPr>
        <w:overflowPunct w:val="0"/>
        <w:spacing w:line="540" w:lineRule="exact"/>
        <w:ind w:firstLine="640" w:firstLineChars="200"/>
        <w:rPr>
          <w:szCs w:val="32"/>
        </w:rPr>
      </w:pPr>
      <w:r>
        <w:rPr>
          <w:szCs w:val="32"/>
        </w:rPr>
        <w:t>目前，广州的产业结构和配比与世界一线城市有一定差距，为实现国土空间总体规划的战略目标，参考国际城市的先进经验，以城市更新为契机，结合产城融合的要求，合理划定面向城市规划建设的管理圈层，通过合理配置城市更新</w:t>
      </w:r>
      <w:r>
        <w:rPr>
          <w:rFonts w:hint="eastAsia"/>
          <w:szCs w:val="32"/>
        </w:rPr>
        <w:t>单元</w:t>
      </w:r>
      <w:r>
        <w:rPr>
          <w:szCs w:val="32"/>
        </w:rPr>
        <w:t>产业建设量占</w:t>
      </w:r>
      <w:r>
        <w:rPr>
          <w:rFonts w:hint="eastAsia"/>
          <w:szCs w:val="32"/>
        </w:rPr>
        <w:t>产居</w:t>
      </w:r>
      <w:r>
        <w:rPr>
          <w:szCs w:val="32"/>
        </w:rPr>
        <w:t>总建设量的比例，吸引高端产业向中心城区聚集，进一步优化城市功能和人口布局，缓解交通压力，实现产城融合</w:t>
      </w:r>
      <w:r>
        <w:rPr>
          <w:rFonts w:hint="eastAsia"/>
          <w:szCs w:val="32"/>
        </w:rPr>
        <w:t>、</w:t>
      </w:r>
      <w:r>
        <w:rPr>
          <w:szCs w:val="32"/>
        </w:rPr>
        <w:t xml:space="preserve">职住平衡的发展目标。 </w:t>
      </w:r>
    </w:p>
    <w:p>
      <w:pPr>
        <w:overflowPunct w:val="0"/>
        <w:spacing w:line="540" w:lineRule="exact"/>
        <w:ind w:firstLine="640" w:firstLineChars="200"/>
        <w:rPr>
          <w:rFonts w:eastAsia="黑体"/>
          <w:bCs/>
          <w:szCs w:val="32"/>
        </w:rPr>
      </w:pPr>
      <w:r>
        <w:rPr>
          <w:rFonts w:eastAsia="黑体"/>
          <w:bCs/>
          <w:szCs w:val="32"/>
        </w:rPr>
        <w:t>三、管理圈层和要求</w:t>
      </w:r>
    </w:p>
    <w:p>
      <w:pPr>
        <w:overflowPunct w:val="0"/>
        <w:spacing w:line="540" w:lineRule="exact"/>
        <w:ind w:firstLine="640" w:firstLineChars="200"/>
        <w:rPr>
          <w:szCs w:val="32"/>
        </w:rPr>
      </w:pPr>
      <w:r>
        <w:rPr>
          <w:szCs w:val="32"/>
        </w:rPr>
        <w:t>以国土空间总体规划的城镇发展空间布局为基础，结合重点功能片区、城市重要道路、行政边界等要素，划定三个管理圈层（详见附图）。通过城市更新为产业发展提供拓展空间，特别是加强中心城区和重点功能片区的产业用地保障，促进</w:t>
      </w:r>
      <w:r>
        <w:rPr>
          <w:rFonts w:hint="eastAsia"/>
          <w:szCs w:val="32"/>
        </w:rPr>
        <w:t>高质量</w:t>
      </w:r>
      <w:r>
        <w:rPr>
          <w:szCs w:val="32"/>
        </w:rPr>
        <w:t>发展。</w:t>
      </w:r>
    </w:p>
    <w:p>
      <w:pPr>
        <w:overflowPunct w:val="0"/>
        <w:spacing w:line="540" w:lineRule="exact"/>
        <w:ind w:firstLine="640" w:firstLineChars="200"/>
        <w:rPr>
          <w:rFonts w:ascii="楷体_GB2312" w:eastAsia="楷体_GB2312"/>
          <w:bCs/>
        </w:rPr>
      </w:pPr>
      <w:r>
        <w:rPr>
          <w:rFonts w:hint="eastAsia" w:ascii="楷体_GB2312" w:eastAsia="楷体_GB2312"/>
          <w:bCs/>
        </w:rPr>
        <w:t>（一）第一圈层。</w:t>
      </w:r>
    </w:p>
    <w:p>
      <w:pPr>
        <w:overflowPunct w:val="0"/>
        <w:spacing w:line="540" w:lineRule="exact"/>
        <w:ind w:firstLine="640" w:firstLineChars="200"/>
      </w:pPr>
      <w:r>
        <w:t xml:space="preserve">广州环城高速以内的区域。主要包含越秀区、海珠区北部、荔湾区东部、天河区南部等老城区，面积220平方公里。重点破解老城区人口过度密集、公共配套不足等瓶颈，增添高质量增长引擎，激发创新创业活力和动力。 </w:t>
      </w:r>
    </w:p>
    <w:p>
      <w:pPr>
        <w:overflowPunct w:val="0"/>
        <w:spacing w:line="540" w:lineRule="exact"/>
        <w:ind w:firstLine="640" w:firstLineChars="200"/>
      </w:pPr>
      <w:r>
        <w:t>第一圈层内，城市更新</w:t>
      </w:r>
      <w:r>
        <w:rPr>
          <w:rFonts w:hint="eastAsia"/>
        </w:rPr>
        <w:t>单元</w:t>
      </w:r>
      <w:r>
        <w:t>产业建设量原则上占</w:t>
      </w:r>
      <w:r>
        <w:rPr>
          <w:rFonts w:hint="eastAsia"/>
        </w:rPr>
        <w:t>产居</w:t>
      </w:r>
      <w:r>
        <w:t>总建设量的</w:t>
      </w:r>
      <w:r>
        <w:rPr>
          <w:rFonts w:hint="eastAsia"/>
        </w:rPr>
        <w:t>50%以上；</w:t>
      </w:r>
      <w:r>
        <w:t>或城市更新</w:t>
      </w:r>
      <w:r>
        <w:rPr>
          <w:rFonts w:hint="eastAsia"/>
        </w:rPr>
        <w:t>单元</w:t>
      </w:r>
      <w:r>
        <w:t>融资地块上</w:t>
      </w:r>
      <w:r>
        <w:rPr>
          <w:szCs w:val="32"/>
        </w:rPr>
        <w:t>产业建设量</w:t>
      </w:r>
      <w:r>
        <w:t>原则上</w:t>
      </w:r>
      <w:r>
        <w:rPr>
          <w:szCs w:val="32"/>
        </w:rPr>
        <w:t>占融资地块</w:t>
      </w:r>
      <w:r>
        <w:rPr>
          <w:rFonts w:hint="eastAsia"/>
        </w:rPr>
        <w:t>产居</w:t>
      </w:r>
      <w:r>
        <w:rPr>
          <w:szCs w:val="32"/>
        </w:rPr>
        <w:t>总建设量的</w:t>
      </w:r>
      <w:r>
        <w:rPr>
          <w:rFonts w:hint="eastAsia"/>
          <w:szCs w:val="32"/>
        </w:rPr>
        <w:t>50%以上</w:t>
      </w:r>
      <w:r>
        <w:rPr>
          <w:szCs w:val="32"/>
        </w:rPr>
        <w:t>。</w:t>
      </w:r>
    </w:p>
    <w:p>
      <w:pPr>
        <w:overflowPunct w:val="0"/>
        <w:spacing w:line="540" w:lineRule="exact"/>
        <w:ind w:firstLine="640" w:firstLineChars="200"/>
        <w:rPr>
          <w:rFonts w:eastAsia="楷体"/>
          <w:bCs/>
        </w:rPr>
      </w:pPr>
      <w:r>
        <w:rPr>
          <w:rFonts w:ascii="楷体_GB2312" w:eastAsia="楷体_GB2312"/>
          <w:bCs/>
        </w:rPr>
        <w:t>（二）第二圈层</w:t>
      </w:r>
      <w:r>
        <w:rPr>
          <w:rFonts w:hint="eastAsia" w:eastAsia="楷体"/>
          <w:bCs/>
        </w:rPr>
        <w:t>。</w:t>
      </w:r>
    </w:p>
    <w:p>
      <w:pPr>
        <w:overflowPunct w:val="0"/>
        <w:spacing w:line="540" w:lineRule="exact"/>
        <w:ind w:firstLine="640" w:firstLineChars="200"/>
      </w:pPr>
      <w:r>
        <w:t>广州环城高速以外，东至天河-黄埔、番禺-黄埔区界，南至广明高速，西至广州-佛山市界，北至华南快速。主要包含海珠区南部、荔湾区西部、天河区北部、白云区南部、番禺区北部等，面积397平方公里。着力强化中心城区核心区以及广州南站、万博商务区、国际创新城等重点功能片区的高端要素集聚，提高推动广州创新驱动高质量发展的能级。</w:t>
      </w:r>
    </w:p>
    <w:p>
      <w:pPr>
        <w:overflowPunct w:val="0"/>
        <w:spacing w:line="540" w:lineRule="exact"/>
        <w:ind w:firstLine="640" w:firstLineChars="200"/>
      </w:pPr>
      <w:r>
        <w:t>第二圈层内，城市更新</w:t>
      </w:r>
      <w:r>
        <w:rPr>
          <w:rFonts w:hint="eastAsia"/>
        </w:rPr>
        <w:t>单元</w:t>
      </w:r>
      <w:r>
        <w:t>产业建设量原则上占</w:t>
      </w:r>
      <w:r>
        <w:rPr>
          <w:rFonts w:hint="eastAsia"/>
        </w:rPr>
        <w:t>产居</w:t>
      </w:r>
      <w:r>
        <w:t>总建设量的</w:t>
      </w:r>
      <w:r>
        <w:rPr>
          <w:rFonts w:hint="eastAsia"/>
        </w:rPr>
        <w:t>30%以</w:t>
      </w:r>
      <w:r>
        <w:t>上；或城市更新</w:t>
      </w:r>
      <w:r>
        <w:rPr>
          <w:rFonts w:hint="eastAsia"/>
        </w:rPr>
        <w:t>单元</w:t>
      </w:r>
      <w:r>
        <w:t>融资地块上产业建设量原则上</w:t>
      </w:r>
      <w:r>
        <w:rPr>
          <w:szCs w:val="32"/>
        </w:rPr>
        <w:t>占融资地块</w:t>
      </w:r>
      <w:r>
        <w:rPr>
          <w:rFonts w:hint="eastAsia"/>
        </w:rPr>
        <w:t>产居</w:t>
      </w:r>
      <w:r>
        <w:rPr>
          <w:szCs w:val="32"/>
        </w:rPr>
        <w:t>总建设量的</w:t>
      </w:r>
      <w:r>
        <w:rPr>
          <w:rFonts w:hint="eastAsia"/>
          <w:szCs w:val="32"/>
        </w:rPr>
        <w:t>30%以上</w:t>
      </w:r>
      <w:r>
        <w:rPr>
          <w:szCs w:val="32"/>
        </w:rPr>
        <w:t>。</w:t>
      </w:r>
    </w:p>
    <w:p>
      <w:pPr>
        <w:overflowPunct w:val="0"/>
        <w:spacing w:line="540" w:lineRule="exact"/>
        <w:ind w:firstLine="640" w:firstLineChars="200"/>
        <w:rPr>
          <w:rFonts w:ascii="楷体_GB2312" w:eastAsia="楷体_GB2312"/>
          <w:bCs/>
        </w:rPr>
      </w:pPr>
      <w:r>
        <w:rPr>
          <w:rFonts w:ascii="楷体_GB2312" w:eastAsia="楷体_GB2312"/>
          <w:bCs/>
        </w:rPr>
        <w:t>（三）第三圈层</w:t>
      </w:r>
      <w:r>
        <w:rPr>
          <w:rFonts w:hint="eastAsia" w:ascii="楷体_GB2312" w:eastAsia="楷体_GB2312"/>
          <w:bCs/>
        </w:rPr>
        <w:t>。</w:t>
      </w:r>
    </w:p>
    <w:p>
      <w:pPr>
        <w:overflowPunct w:val="0"/>
        <w:spacing w:line="540" w:lineRule="exact"/>
        <w:ind w:firstLine="640" w:firstLineChars="200"/>
      </w:pPr>
      <w:r>
        <w:t>第一、第二圈层以外的区域。主要包含白云区北部、番禺区南部、黄埔区、花都区、南沙区、从化区、增城区等。重点促进产城融合发展，构建城乡一体发展格局。</w:t>
      </w:r>
    </w:p>
    <w:p>
      <w:pPr>
        <w:overflowPunct w:val="0"/>
        <w:spacing w:line="540" w:lineRule="exact"/>
        <w:ind w:firstLine="640" w:firstLineChars="200"/>
      </w:pPr>
      <w:r>
        <w:t>第三圈层内，</w:t>
      </w:r>
      <w:r>
        <w:rPr>
          <w:rFonts w:hint="eastAsia"/>
        </w:rPr>
        <w:t>除已经纳入重点功能片区按规划控制外，其他区域</w:t>
      </w:r>
      <w:r>
        <w:t>城市更新</w:t>
      </w:r>
      <w:r>
        <w:rPr>
          <w:rFonts w:hint="eastAsia"/>
        </w:rPr>
        <w:t>单元</w:t>
      </w:r>
      <w:r>
        <w:t>产业建设量占</w:t>
      </w:r>
      <w:r>
        <w:rPr>
          <w:rFonts w:hint="eastAsia"/>
        </w:rPr>
        <w:t>产居</w:t>
      </w:r>
      <w:r>
        <w:t>总建设量的比例，由所在区结合</w:t>
      </w:r>
      <w:r>
        <w:rPr>
          <w:rFonts w:hint="eastAsia"/>
        </w:rPr>
        <w:t>片区</w:t>
      </w:r>
      <w:r>
        <w:t>产业发展</w:t>
      </w:r>
      <w:r>
        <w:rPr>
          <w:rFonts w:hint="eastAsia"/>
        </w:rPr>
        <w:t>规划</w:t>
      </w:r>
      <w:r>
        <w:t>和</w:t>
      </w:r>
      <w:r>
        <w:rPr>
          <w:rFonts w:hint="eastAsia"/>
        </w:rPr>
        <w:t>城市更新单元</w:t>
      </w:r>
      <w:r>
        <w:t>实际，自行制定指引。</w:t>
      </w:r>
    </w:p>
    <w:p>
      <w:pPr>
        <w:overflowPunct w:val="0"/>
        <w:spacing w:line="540" w:lineRule="exact"/>
        <w:ind w:firstLine="640" w:firstLineChars="200"/>
        <w:rPr>
          <w:rFonts w:eastAsia="黑体"/>
        </w:rPr>
      </w:pPr>
      <w:r>
        <w:rPr>
          <w:rFonts w:eastAsia="黑体"/>
          <w:bCs/>
          <w:szCs w:val="32"/>
        </w:rPr>
        <w:t>四、其他</w:t>
      </w:r>
    </w:p>
    <w:p>
      <w:pPr>
        <w:overflowPunct w:val="0"/>
        <w:spacing w:line="540" w:lineRule="exact"/>
        <w:ind w:firstLine="640" w:firstLineChars="200"/>
        <w:rPr>
          <w:szCs w:val="32"/>
        </w:rPr>
      </w:pPr>
      <w:r>
        <w:t>（一）城市更新</w:t>
      </w:r>
      <w:r>
        <w:rPr>
          <w:rFonts w:hint="eastAsia"/>
        </w:rPr>
        <w:t>单元按教育、医疗等</w:t>
      </w:r>
      <w:r>
        <w:rPr>
          <w:rFonts w:hint="eastAsia"/>
          <w:kern w:val="0"/>
          <w:szCs w:val="32"/>
        </w:rPr>
        <w:t>专项规划高标准</w:t>
      </w:r>
      <w:r>
        <w:rPr>
          <w:kern w:val="0"/>
          <w:szCs w:val="32"/>
        </w:rPr>
        <w:t>配置教育、医疗等公共服务设施的，或与历史文化保护利用项目组合实施的，</w:t>
      </w:r>
      <w:r>
        <w:t>可适当放宽产业建设量占比要求</w:t>
      </w:r>
      <w:r>
        <w:rPr>
          <w:szCs w:val="32"/>
        </w:rPr>
        <w:t>。</w:t>
      </w:r>
    </w:p>
    <w:p>
      <w:pPr>
        <w:overflowPunct w:val="0"/>
        <w:spacing w:line="540" w:lineRule="exact"/>
        <w:ind w:firstLine="640" w:firstLineChars="200"/>
      </w:pPr>
      <w:r>
        <w:t>（二）城市更新</w:t>
      </w:r>
      <w:r>
        <w:rPr>
          <w:rFonts w:hint="eastAsia"/>
        </w:rPr>
        <w:t>单元</w:t>
      </w:r>
      <w:r>
        <w:rPr>
          <w:szCs w:val="32"/>
        </w:rPr>
        <w:t>跨圈层的可结合实际确定产业建设量占比</w:t>
      </w:r>
      <w:r>
        <w:t>；涉及重点功能片区、工业产业区块的城市更新</w:t>
      </w:r>
      <w:r>
        <w:rPr>
          <w:rFonts w:hint="eastAsia"/>
        </w:rPr>
        <w:t>单元</w:t>
      </w:r>
      <w:r>
        <w:t>，产业建设量还应同时满足重点功能片区、工业产业区块的相关管理要求</w:t>
      </w:r>
      <w:r>
        <w:rPr>
          <w:rFonts w:hint="eastAsia"/>
        </w:rPr>
        <w:t>。</w:t>
      </w:r>
    </w:p>
    <w:p>
      <w:pPr>
        <w:overflowPunct w:val="0"/>
        <w:spacing w:line="540" w:lineRule="exact"/>
        <w:ind w:firstLine="640" w:firstLineChars="200"/>
      </w:pPr>
      <w:r>
        <w:t>（三）单个城市更新</w:t>
      </w:r>
      <w:r>
        <w:rPr>
          <w:rFonts w:hint="eastAsia"/>
        </w:rPr>
        <w:t>单元</w:t>
      </w:r>
      <w:r>
        <w:t>产业建设量占</w:t>
      </w:r>
      <w:r>
        <w:rPr>
          <w:rFonts w:hint="eastAsia"/>
        </w:rPr>
        <w:t>产居</w:t>
      </w:r>
      <w:r>
        <w:t>总建设量的比例无法满足</w:t>
      </w:r>
      <w:r>
        <w:rPr>
          <w:rFonts w:hint="eastAsia"/>
        </w:rPr>
        <w:t>原则性</w:t>
      </w:r>
      <w:r>
        <w:t>要求的，</w:t>
      </w:r>
      <w:r>
        <w:rPr>
          <w:rFonts w:hint="eastAsia"/>
        </w:rPr>
        <w:t>区政府可</w:t>
      </w:r>
      <w:r>
        <w:rPr>
          <w:rFonts w:hint="eastAsia"/>
          <w:szCs w:val="32"/>
        </w:rPr>
        <w:t>结合区域产业发展现状和产业规划，</w:t>
      </w:r>
      <w:r>
        <w:rPr>
          <w:rFonts w:hint="eastAsia"/>
        </w:rPr>
        <w:t>将周边区域纳入统筹研究，或通过</w:t>
      </w:r>
      <w:r>
        <w:t>多个城市更新</w:t>
      </w:r>
      <w:r>
        <w:rPr>
          <w:rFonts w:hint="eastAsia"/>
        </w:rPr>
        <w:t>单元</w:t>
      </w:r>
      <w:r>
        <w:t>统筹</w:t>
      </w:r>
      <w:r>
        <w:rPr>
          <w:rFonts w:hint="eastAsia"/>
        </w:rPr>
        <w:t>研究</w:t>
      </w:r>
      <w:r>
        <w:t>，</w:t>
      </w:r>
      <w:r>
        <w:rPr>
          <w:rFonts w:hint="eastAsia"/>
        </w:rPr>
        <w:t>确保区域产业建设量</w:t>
      </w:r>
      <w:r>
        <w:t>整体满足占比要求。</w:t>
      </w:r>
    </w:p>
    <w:p>
      <w:pPr>
        <w:overflowPunct w:val="0"/>
        <w:spacing w:line="540" w:lineRule="exact"/>
        <w:ind w:firstLine="640" w:firstLineChars="200"/>
      </w:pPr>
      <w:r>
        <w:rPr>
          <w:rFonts w:hint="eastAsia"/>
        </w:rPr>
        <w:t>（四）以上三种情形，</w:t>
      </w:r>
      <w:r>
        <w:t>产业建设量占</w:t>
      </w:r>
      <w:r>
        <w:rPr>
          <w:rFonts w:hint="eastAsia"/>
        </w:rPr>
        <w:t>产居</w:t>
      </w:r>
      <w:r>
        <w:t>总建设量的比例在</w:t>
      </w:r>
      <w:r>
        <w:rPr>
          <w:rFonts w:hint="eastAsia"/>
        </w:rPr>
        <w:t>城市更新单元</w:t>
      </w:r>
      <w:r>
        <w:t>详细规划中明确，并作为提请</w:t>
      </w:r>
      <w:r>
        <w:rPr>
          <w:rFonts w:hint="eastAsia"/>
          <w:szCs w:val="32"/>
        </w:rPr>
        <w:t>规委</w:t>
      </w:r>
      <w:r>
        <w:rPr>
          <w:szCs w:val="32"/>
        </w:rPr>
        <w:t>会</w:t>
      </w:r>
      <w:r>
        <w:t>审议事项。</w:t>
      </w:r>
    </w:p>
    <w:p>
      <w:pPr>
        <w:overflowPunct w:val="0"/>
        <w:spacing w:line="540" w:lineRule="exact"/>
        <w:ind w:firstLine="640" w:firstLineChars="200"/>
        <w:rPr>
          <w:rFonts w:ascii="黑体" w:hAnsi="黑体" w:eastAsia="黑体" w:cs="黑体"/>
        </w:rPr>
      </w:pPr>
      <w:r>
        <w:rPr>
          <w:rFonts w:hint="eastAsia" w:ascii="黑体" w:hAnsi="黑体" w:eastAsia="黑体" w:cs="黑体"/>
        </w:rPr>
        <w:t>五、名词解释</w:t>
      </w:r>
    </w:p>
    <w:p>
      <w:pPr>
        <w:spacing w:line="540" w:lineRule="exact"/>
        <w:ind w:firstLine="640" w:firstLineChars="200"/>
      </w:pPr>
      <w:r>
        <w:rPr>
          <w:rFonts w:hint="eastAsia"/>
        </w:rPr>
        <w:t>本指引中所述</w:t>
      </w:r>
      <w:r>
        <w:t>产业建设量</w:t>
      </w:r>
      <w:r>
        <w:rPr>
          <w:rFonts w:hint="eastAsia"/>
        </w:rPr>
        <w:t>是指城市更新单元范围内或融资地块范围内新建的产业建设量，包括商业商务服务业、工业（含普通工业、新型产业）、物流仓储的建设量。</w:t>
      </w:r>
    </w:p>
    <w:p>
      <w:pPr>
        <w:spacing w:line="540" w:lineRule="exact"/>
        <w:ind w:firstLine="640" w:firstLineChars="200"/>
      </w:pPr>
      <w:r>
        <w:rPr>
          <w:rFonts w:hint="eastAsia"/>
        </w:rPr>
        <w:t>产居总建设量是指</w:t>
      </w:r>
      <w:r>
        <w:t>城市更新</w:t>
      </w:r>
      <w:r>
        <w:rPr>
          <w:rFonts w:hint="eastAsia"/>
        </w:rPr>
        <w:t>单元范围内或融资地块范围内新建的产业建设量与新建的扣除公服配套后的住宅建设量之和。</w:t>
      </w:r>
    </w:p>
    <w:p>
      <w:pPr>
        <w:spacing w:line="540" w:lineRule="exact"/>
        <w:ind w:firstLine="640" w:firstLineChars="200"/>
      </w:pPr>
    </w:p>
    <w:p>
      <w:pPr>
        <w:spacing w:line="540" w:lineRule="exact"/>
        <w:ind w:firstLine="640" w:firstLineChars="200"/>
      </w:pPr>
    </w:p>
    <w:p>
      <w:pPr>
        <w:spacing w:line="540" w:lineRule="exact"/>
        <w:ind w:firstLine="640" w:firstLineChars="200"/>
      </w:pPr>
      <w:r>
        <w:t>附图：广州市城市更新规划建设管理圈层示意图</w:t>
      </w:r>
    </w:p>
    <w:p>
      <w:pPr>
        <w:spacing w:line="560" w:lineRule="exact"/>
        <w:sectPr>
          <w:footerReference r:id="rId3" w:type="default"/>
          <w:pgSz w:w="11906" w:h="16838"/>
          <w:pgMar w:top="1440" w:right="1800" w:bottom="1440" w:left="1800" w:header="851" w:footer="992" w:gutter="0"/>
          <w:pgNumType w:start="1"/>
          <w:cols w:space="720" w:num="1"/>
          <w:docGrid w:type="lines" w:linePitch="435" w:charSpace="0"/>
        </w:sectPr>
      </w:pPr>
    </w:p>
    <w:p>
      <w:r>
        <w:drawing>
          <wp:anchor distT="0" distB="0" distL="114300" distR="114300" simplePos="0" relativeHeight="251658240" behindDoc="1" locked="0" layoutInCell="1" allowOverlap="1">
            <wp:simplePos x="0" y="0"/>
            <wp:positionH relativeFrom="margin">
              <wp:posOffset>-257175</wp:posOffset>
            </wp:positionH>
            <wp:positionV relativeFrom="paragraph">
              <wp:posOffset>342900</wp:posOffset>
            </wp:positionV>
            <wp:extent cx="5767070" cy="8158480"/>
            <wp:effectExtent l="0" t="0" r="508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7070" cy="8158205"/>
                    </a:xfrm>
                    <a:prstGeom prst="rect">
                      <a:avLst/>
                    </a:prstGeom>
                    <a:noFill/>
                    <a:ln>
                      <a:noFill/>
                    </a:ln>
                  </pic:spPr>
                </pic:pic>
              </a:graphicData>
            </a:graphic>
          </wp:anchor>
        </w:drawing>
      </w:r>
      <w:r>
        <w:rPr>
          <w:rFonts w:hint="eastAsia"/>
        </w:rPr>
        <w:t>附图</w:t>
      </w:r>
    </w:p>
    <w:p/>
    <w:p/>
    <w:p/>
    <w:p/>
    <w:p/>
    <w:p/>
    <w:p/>
    <w:p/>
    <w:p/>
    <w:p/>
    <w:p/>
    <w:p/>
    <w:p/>
    <w:p/>
    <w:p/>
    <w:p/>
    <w:p/>
    <w:p/>
    <w:p/>
    <w:p>
      <w:pPr>
        <w:spacing w:line="20" w:lineRule="exact"/>
      </w:pP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方正小标宋简体">
    <w:panose1 w:val="02010601030101010101"/>
    <w:charset w:val="86"/>
    <w:family w:val="auto"/>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-32385</wp:posOffset>
              </wp:positionV>
              <wp:extent cx="260985" cy="332740"/>
              <wp:effectExtent l="0" t="0" r="0" b="0"/>
              <wp:wrapNone/>
              <wp:docPr id="91" name="矩形 91"/>
              <wp:cNvGraphicFramePr/>
              <a:graphic xmlns:a="http://schemas.openxmlformats.org/drawingml/2006/main">
                <a:graphicData uri="http://schemas.microsoft.com/office/word/2010/wordprocessingShape">
                  <wps:wsp>
                    <wps:cNvSpPr/>
                    <wps:spPr>
                      <a:xfrm>
                        <a:off x="0" y="0"/>
                        <a:ext cx="260985" cy="332740"/>
                      </a:xfrm>
                      <a:prstGeom prst="rect">
                        <a:avLst/>
                      </a:prstGeom>
                      <a:noFill/>
                      <a:ln>
                        <a:noFill/>
                      </a:ln>
                      <a:effectLst/>
                    </wps:spPr>
                    <wps:txbx>
                      <w:txbxContent>
                        <w:p>
                          <w:pPr>
                            <w:pStyle w:val="4"/>
                            <w:rPr>
                              <w:rFonts w:ascii="宋体" w:hAnsi="宋体" w:cs="宋体"/>
                              <w:sz w:val="28"/>
                              <w:szCs w:val="28"/>
                            </w:rPr>
                          </w:pPr>
                        </w:p>
                      </w:txbxContent>
                    </wps:txbx>
                    <wps:bodyPr lIns="0" tIns="0" rIns="0" bIns="0" upright="1"/>
                  </wps:wsp>
                </a:graphicData>
              </a:graphic>
            </wp:anchor>
          </w:drawing>
        </mc:Choice>
        <mc:Fallback>
          <w:pict>
            <v:rect id="_x0000_s1026" o:spid="_x0000_s1026" o:spt="1" style="position:absolute;left:0pt;margin-top:-2.55pt;height:26.2pt;width:20.55pt;mso-position-horizontal:center;mso-position-horizontal-relative:margin;z-index:251678720;mso-width-relative:page;mso-height-relative:page;" filled="f" stroked="f" coordsize="21600,21600" o:gfxdata="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pISg1NYAAAAFAQAADwAAAAAAAAABACAAAAAi&#10;AAAAZHJzL2Rvd25yZXYueG1sUEsBAhQAFAAAAAgAh07iQNEMUzOaAQAAJgMAAA4AAAAAAAAAAQAg&#10;AAAAJQEAAGRycy9lMm9Eb2MueG1sUEsFBgAAAAAGAAYAWQEAADEFAAAAAA==&#10;">
              <v:fill on="f" focussize="0,0"/>
              <v:stroke on="f"/>
              <v:imagedata o:title=""/>
              <o:lock v:ext="edit" aspectratio="f"/>
              <v:textbox inset="0mm,0mm,0mm,0mm">
                <w:txbxContent>
                  <w:p>
                    <w:pPr>
                      <w:pStyle w:val="4"/>
                      <w:rPr>
                        <w:rFonts w:ascii="宋体" w:hAnsi="宋体" w:cs="宋体"/>
                        <w:sz w:val="28"/>
                        <w:szCs w:val="28"/>
                      </w:rPr>
                    </w:pP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-32385</wp:posOffset>
              </wp:positionV>
              <wp:extent cx="260985" cy="332740"/>
              <wp:effectExtent l="0" t="0" r="0" b="0"/>
              <wp:wrapNone/>
              <wp:docPr id="87" name="矩形 87"/>
              <wp:cNvGraphicFramePr/>
              <a:graphic xmlns:a="http://schemas.openxmlformats.org/drawingml/2006/main">
                <a:graphicData uri="http://schemas.microsoft.com/office/word/2010/wordprocessingShape">
                  <wps:wsp>
                    <wps:cNvSpPr/>
                    <wps:spPr>
                      <a:xfrm>
                        <a:off x="0" y="0"/>
                        <a:ext cx="260985" cy="332740"/>
                      </a:xfrm>
                      <a:prstGeom prst="rect">
                        <a:avLst/>
                      </a:prstGeom>
                      <a:noFill/>
                      <a:ln>
                        <a:noFill/>
                      </a:ln>
                      <a:effectLst/>
                    </wps:spPr>
                    <wps:txbx>
                      <w:txbxContent>
                        <w:p>
                          <w:pPr>
                            <w:pStyle w:val="4"/>
                            <w:rPr>
                              <w:rFonts w:ascii="宋体" w:hAnsi="宋体" w:cs="宋体"/>
                              <w:sz w:val="28"/>
                              <w:szCs w:val="28"/>
                            </w:rPr>
                          </w:pPr>
                        </w:p>
                      </w:txbxContent>
                    </wps:txbx>
                    <wps:bodyPr lIns="0" tIns="0" rIns="0" bIns="0" upright="1"/>
                  </wps:wsp>
                </a:graphicData>
              </a:graphic>
            </wp:anchor>
          </w:drawing>
        </mc:Choice>
        <mc:Fallback>
          <w:pict>
            <v:rect id="_x0000_s1026" o:spid="_x0000_s1026" o:spt="1" style="position:absolute;left:0pt;margin-top:-2.55pt;height:26.2pt;width:20.55pt;mso-position-horizontal:center;mso-position-horizontal-relative:margin;z-index:251675648;mso-width-relative:page;mso-height-relative:page;" filled="f" stroked="f" coordsize="21600,21600" o:gfxdata="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KSEoNTWAAAABQEAAA8AAAAAAAAAAQAgAAAA&#10;IgAAAGRycy9kb3ducmV2LnhtbFBLAQIUABQAAAAIAIdO4kAQO5BumwEAACYDAAAOAAAAAAAAAAEA&#10;IAAAACUBAABkcnMvZTJvRG9jLnhtbFBLBQYAAAAABgAGAFkBAAAyBQAAAAA=&#10;">
              <v:fill on="f" focussize="0,0"/>
              <v:stroke on="f"/>
              <v:imagedata o:title=""/>
              <o:lock v:ext="edit" aspectratio="f"/>
              <v:textbox inset="0mm,0mm,0mm,0mm">
                <w:txbxContent>
                  <w:p>
                    <w:pPr>
                      <w:pStyle w:val="4"/>
                      <w:rPr>
                        <w:rFonts w:ascii="宋体" w:hAnsi="宋体" w:cs="宋体"/>
                        <w:sz w:val="28"/>
                        <w:szCs w:val="28"/>
                      </w:rPr>
                    </w:pPr>
                  </w:p>
                </w:txbxContent>
              </v:textbox>
            </v:rect>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dit="trackedChanges"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BDA422D"/>
    <w:rsid w:val="00050BB8"/>
    <w:rsid w:val="000A32D6"/>
    <w:rsid w:val="000C14D9"/>
    <w:rsid w:val="00195682"/>
    <w:rsid w:val="003D2B11"/>
    <w:rsid w:val="00786FCF"/>
    <w:rsid w:val="0080442E"/>
    <w:rsid w:val="00A07519"/>
    <w:rsid w:val="00B33301"/>
    <w:rsid w:val="00C74FF6"/>
    <w:rsid w:val="00F97337"/>
    <w:rsid w:val="01AB2254"/>
    <w:rsid w:val="05285F76"/>
    <w:rsid w:val="064B1FFB"/>
    <w:rsid w:val="08CC2EA4"/>
    <w:rsid w:val="097A5D9C"/>
    <w:rsid w:val="099F6DB6"/>
    <w:rsid w:val="0B4E3855"/>
    <w:rsid w:val="0DEB5D0D"/>
    <w:rsid w:val="0E31432F"/>
    <w:rsid w:val="0F9C6AC8"/>
    <w:rsid w:val="105B0A48"/>
    <w:rsid w:val="135E697F"/>
    <w:rsid w:val="150E47D6"/>
    <w:rsid w:val="16D50F14"/>
    <w:rsid w:val="18757C6D"/>
    <w:rsid w:val="19260307"/>
    <w:rsid w:val="1DF61388"/>
    <w:rsid w:val="1DFD04C0"/>
    <w:rsid w:val="201A0B8C"/>
    <w:rsid w:val="21CE7887"/>
    <w:rsid w:val="220B0A12"/>
    <w:rsid w:val="23F62421"/>
    <w:rsid w:val="25352D62"/>
    <w:rsid w:val="283B3443"/>
    <w:rsid w:val="2BC852CD"/>
    <w:rsid w:val="2F244A0C"/>
    <w:rsid w:val="300A09D9"/>
    <w:rsid w:val="309566EF"/>
    <w:rsid w:val="32DA576E"/>
    <w:rsid w:val="330B0F7B"/>
    <w:rsid w:val="33DB5A38"/>
    <w:rsid w:val="353C7686"/>
    <w:rsid w:val="35B97367"/>
    <w:rsid w:val="35CA7EEF"/>
    <w:rsid w:val="364979B8"/>
    <w:rsid w:val="37673EA2"/>
    <w:rsid w:val="3BA85FF5"/>
    <w:rsid w:val="3C54552D"/>
    <w:rsid w:val="3CDC5807"/>
    <w:rsid w:val="3D0114B8"/>
    <w:rsid w:val="3D57540F"/>
    <w:rsid w:val="3D863005"/>
    <w:rsid w:val="3E5125AE"/>
    <w:rsid w:val="3F190BCF"/>
    <w:rsid w:val="423D1F8A"/>
    <w:rsid w:val="426E4E4D"/>
    <w:rsid w:val="42A670CD"/>
    <w:rsid w:val="43066704"/>
    <w:rsid w:val="444C2C12"/>
    <w:rsid w:val="486E65A7"/>
    <w:rsid w:val="48C674E2"/>
    <w:rsid w:val="4A4156C5"/>
    <w:rsid w:val="4BDC270F"/>
    <w:rsid w:val="4D0C2DD7"/>
    <w:rsid w:val="4D776103"/>
    <w:rsid w:val="50B47B84"/>
    <w:rsid w:val="519E6EA4"/>
    <w:rsid w:val="51A525AB"/>
    <w:rsid w:val="54823EF4"/>
    <w:rsid w:val="55C234DD"/>
    <w:rsid w:val="56056A9C"/>
    <w:rsid w:val="59C02DCF"/>
    <w:rsid w:val="5E4E4C4A"/>
    <w:rsid w:val="5E9F2384"/>
    <w:rsid w:val="5FEB161E"/>
    <w:rsid w:val="62414628"/>
    <w:rsid w:val="62440A48"/>
    <w:rsid w:val="624C35E3"/>
    <w:rsid w:val="63BA66AC"/>
    <w:rsid w:val="659F02C5"/>
    <w:rsid w:val="67133001"/>
    <w:rsid w:val="6B2C5DAD"/>
    <w:rsid w:val="6BB31DF4"/>
    <w:rsid w:val="6BD528A9"/>
    <w:rsid w:val="6BDA422D"/>
    <w:rsid w:val="6BFC4B3D"/>
    <w:rsid w:val="6CF37464"/>
    <w:rsid w:val="6EC904A3"/>
    <w:rsid w:val="6F5B2E44"/>
    <w:rsid w:val="6FD86FD0"/>
    <w:rsid w:val="700C36A0"/>
    <w:rsid w:val="708A6025"/>
    <w:rsid w:val="724E3D0E"/>
    <w:rsid w:val="72FF2376"/>
    <w:rsid w:val="74212532"/>
    <w:rsid w:val="77264AE7"/>
    <w:rsid w:val="7E190EFD"/>
    <w:rsid w:val="7FCF7F52"/>
    <w:rsid w:val="7FFC223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仿宋_GB2312" w:cs="Times New Roman"/>
      <w:kern w:val="2"/>
      <w:sz w:val="32"/>
      <w:lang w:val="en-US" w:eastAsia="zh-CN" w:bidi="ar-SA"/>
    </w:rPr>
  </w:style>
  <w:style w:type="paragraph" w:styleId="2">
    <w:name w:val="heading 1"/>
    <w:basedOn w:val="1"/>
    <w:next w:val="1"/>
    <w:uiPriority w:val="0"/>
    <w:pPr>
      <w:keepNext/>
      <w:keepLines/>
      <w:spacing w:line="600" w:lineRule="exact"/>
      <w:jc w:val="center"/>
      <w:outlineLvl w:val="0"/>
    </w:pPr>
    <w:rPr>
      <w:rFonts w:ascii="等线" w:hAnsi="等线" w:eastAsia="方正小标宋简体"/>
      <w:bCs/>
      <w:kern w:val="44"/>
      <w:sz w:val="44"/>
      <w:szCs w:val="44"/>
    </w:rPr>
  </w:style>
  <w:style w:type="character" w:default="1" w:styleId="7">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3">
    <w:name w:val="Balloon Text"/>
    <w:basedOn w:val="1"/>
    <w:link w:val="8"/>
    <w:qFormat/>
    <w:uiPriority w:val="0"/>
    <w:rPr>
      <w:sz w:val="18"/>
      <w:szCs w:val="18"/>
    </w:rPr>
  </w:style>
  <w:style w:type="paragraph" w:styleId="4">
    <w:name w:val="footer"/>
    <w:basedOn w:val="1"/>
    <w:qFormat/>
    <w:uiPriority w:val="0"/>
    <w:pPr>
      <w:tabs>
        <w:tab w:val="center" w:pos="4153"/>
        <w:tab w:val="right" w:pos="8306"/>
      </w:tabs>
      <w:snapToGrid w:val="0"/>
      <w:jc w:val="left"/>
    </w:pPr>
    <w:rPr>
      <w:rFonts w:ascii="Calibri" w:hAnsi="Calibri" w:eastAsia="宋体"/>
      <w:kern w:val="0"/>
      <w:sz w:val="18"/>
      <w:szCs w:val="18"/>
    </w:rPr>
  </w:style>
  <w:style w:type="paragraph" w:styleId="5">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character" w:customStyle="1" w:styleId="8">
    <w:name w:val="批注框文本 Char"/>
    <w:basedOn w:val="7"/>
    <w:link w:val="3"/>
    <w:qFormat/>
    <w:uiPriority w:val="0"/>
    <w:rPr>
      <w:rFonts w:eastAsia="仿宋_GB2312"/>
      <w:kern w:val="2"/>
      <w:sz w:val="18"/>
      <w:szCs w:val="18"/>
    </w:rPr>
  </w:style>
  <w:style w:type="character" w:customStyle="1" w:styleId="9">
    <w:name w:val="页眉 Char"/>
    <w:basedOn w:val="7"/>
    <w:link w:val="5"/>
    <w:qFormat/>
    <w:uiPriority w:val="0"/>
    <w:rPr>
      <w:rFonts w:eastAsia="仿宋_GB2312"/>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MicroWin10.com</Company>
  <Pages>1</Pages>
  <Words>250</Words>
  <Characters>1430</Characters>
  <Lines>11</Lines>
  <Paragraphs>3</Paragraphs>
  <TotalTime>1</TotalTime>
  <ScaleCrop>false</ScaleCrop>
  <LinksUpToDate>false</LinksUpToDate>
  <CharactersWithSpaces>1677</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2020-09-22T02:26:00Z</dcterms:created>
  <dc:creator>周志炫</dc:creator>
  <cp:lastModifiedBy>周志炫</cp:lastModifiedBy>
  <cp:lastPrinted>2022-04-10T02:37:00Z</cp:lastPrinted>
  <dcterms:modified xsi:type="dcterms:W3CDTF">2022-09-13T03:40:04Z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