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pPr>
      <w:bookmarkStart w:id="0" w:name="_Toc49719361"/>
    </w:p>
    <w:p>
      <w:pPr>
        <w:pStyle w:val="2"/>
        <w:rPr>
          <w:rFonts w:hint="eastAsia" w:ascii="等线" w:hAnsi="等线" w:eastAsia="方正小标宋简体"/>
        </w:rPr>
      </w:pPr>
      <w:bookmarkStart w:id="1" w:name="_Toc18344"/>
      <w:r>
        <w:rPr>
          <w:rFonts w:hint="eastAsia" w:ascii="等线" w:hAnsi="等线" w:eastAsia="方正小标宋简体"/>
          <w:bCs/>
          <w:kern w:val="44"/>
          <w:sz w:val="44"/>
          <w:szCs w:val="44"/>
        </w:rPr>
        <w:t>广州市关于深入推进城市更新加强历史</w:t>
      </w:r>
      <w:bookmarkEnd w:id="0"/>
      <w:bookmarkEnd w:id="1"/>
    </w:p>
    <w:p>
      <w:pPr>
        <w:pStyle w:val="2"/>
        <w:spacing w:line="600" w:lineRule="exact"/>
        <w:jc w:val="center"/>
        <w:rPr>
          <w:rFonts w:hint="eastAsia" w:ascii="等线" w:hAnsi="等线" w:eastAsia="方正小标宋简体"/>
          <w:bCs/>
          <w:kern w:val="44"/>
          <w:sz w:val="44"/>
          <w:szCs w:val="44"/>
        </w:rPr>
      </w:pPr>
      <w:r>
        <w:rPr>
          <w:rFonts w:hint="eastAsia" w:ascii="等线" w:hAnsi="等线" w:eastAsia="方正小标宋简体"/>
          <w:bCs/>
          <w:kern w:val="44"/>
          <w:sz w:val="44"/>
          <w:szCs w:val="44"/>
        </w:rPr>
        <w:t>文化保护传承的实施指引</w:t>
      </w:r>
    </w:p>
    <w:p>
      <w:pPr>
        <w:spacing w:line="560" w:lineRule="exact"/>
        <w:jc w:val="center"/>
        <w:rPr>
          <w:rFonts w:eastAsia="黑体"/>
          <w:szCs w:val="32"/>
        </w:rPr>
      </w:pPr>
      <w:r>
        <w:rPr>
          <w:rFonts w:hint="eastAsia" w:ascii="楷体_GB2312" w:hAnsi="楷体_GB2312" w:eastAsia="楷体_GB2312" w:cs="楷体_GB2312"/>
          <w:b/>
          <w:bCs/>
          <w:sz w:val="30"/>
          <w:szCs w:val="30"/>
        </w:rPr>
        <w:t>（</w:t>
      </w:r>
      <w:ins w:id="2" w:author="周志炫" w:date="2022-08-10T12:04:49Z">
        <w:r>
          <w:rPr>
            <w:rFonts w:hint="eastAsia" w:ascii="楷体_GB2312" w:hAnsi="楷体_GB2312" w:eastAsia="楷体_GB2312" w:cs="楷体_GB2312"/>
            <w:b/>
            <w:bCs/>
            <w:sz w:val="30"/>
            <w:szCs w:val="30"/>
            <w:lang w:val="en-US" w:eastAsia="zh-CN"/>
          </w:rPr>
          <w:t>2022</w:t>
        </w:r>
      </w:ins>
      <w:ins w:id="3" w:author="周志炫" w:date="2022-08-10T12:04:50Z">
        <w:r>
          <w:rPr>
            <w:rFonts w:hint="eastAsia" w:ascii="楷体_GB2312" w:hAnsi="楷体_GB2312" w:eastAsia="楷体_GB2312" w:cs="楷体_GB2312"/>
            <w:b/>
            <w:bCs/>
            <w:sz w:val="30"/>
            <w:szCs w:val="30"/>
            <w:lang w:val="en-US" w:eastAsia="zh-CN"/>
          </w:rPr>
          <w:t>年</w:t>
        </w:r>
      </w:ins>
      <w:r>
        <w:rPr>
          <w:rFonts w:hint="eastAsia" w:ascii="楷体_GB2312" w:hAnsi="楷体_GB2312" w:eastAsia="楷体_GB2312" w:cs="楷体_GB2312"/>
          <w:b/>
          <w:bCs/>
          <w:sz w:val="30"/>
          <w:szCs w:val="30"/>
        </w:rPr>
        <w:t>修订稿</w:t>
      </w:r>
      <w:del w:id="4" w:author="周志炫" w:date="2022-09-13T11:41:40Z">
        <w:r>
          <w:rPr>
            <w:rFonts w:hint="eastAsia" w:ascii="楷体_GB2312" w:hAnsi="楷体_GB2312" w:eastAsia="楷体_GB2312" w:cs="楷体_GB2312"/>
            <w:b/>
            <w:bCs/>
            <w:sz w:val="30"/>
            <w:szCs w:val="30"/>
          </w:rPr>
          <w:delText>送审稿</w:delText>
        </w:r>
      </w:del>
      <w:r>
        <w:rPr>
          <w:rFonts w:hint="eastAsia" w:ascii="楷体_GB2312" w:hAnsi="楷体_GB2312" w:eastAsia="楷体_GB2312" w:cs="楷体_GB2312"/>
          <w:b/>
          <w:bCs/>
          <w:sz w:val="30"/>
          <w:szCs w:val="30"/>
        </w:rPr>
        <w:t>）</w:t>
      </w:r>
    </w:p>
    <w:p>
      <w:pPr>
        <w:spacing w:line="560" w:lineRule="exact"/>
        <w:ind w:firstLine="640" w:firstLineChars="200"/>
        <w:rPr>
          <w:rFonts w:eastAsia="黑体"/>
          <w:szCs w:val="32"/>
        </w:rPr>
      </w:pPr>
    </w:p>
    <w:p>
      <w:pPr>
        <w:spacing w:line="560" w:lineRule="exact"/>
        <w:ind w:firstLine="640" w:firstLineChars="200"/>
        <w:rPr>
          <w:rFonts w:eastAsia="黑体"/>
          <w:szCs w:val="32"/>
        </w:rPr>
      </w:pPr>
      <w:r>
        <w:rPr>
          <w:rFonts w:hint="eastAsia" w:eastAsia="黑体"/>
          <w:szCs w:val="32"/>
        </w:rPr>
        <w:t>一、总体要求</w:t>
      </w:r>
    </w:p>
    <w:p>
      <w:pPr>
        <w:spacing w:line="560" w:lineRule="exact"/>
        <w:ind w:firstLine="640" w:firstLineChars="200"/>
        <w:rPr>
          <w:szCs w:val="32"/>
        </w:rPr>
      </w:pPr>
      <w:r>
        <w:rPr>
          <w:rFonts w:hint="eastAsia" w:ascii="楷体_GB2312" w:hAnsi="楷体_GB2312" w:eastAsia="楷体_GB2312" w:cs="楷体_GB2312"/>
          <w:szCs w:val="32"/>
        </w:rPr>
        <w:t>（一）指导思想。</w:t>
      </w:r>
      <w:r>
        <w:rPr>
          <w:rFonts w:hint="eastAsia"/>
          <w:szCs w:val="32"/>
        </w:rPr>
        <w:t>以习近平新时代中国特色社会主义思想为指导，全面贯彻党的十九大和十九届历次全会精神，深入贯彻习近平总书记关于城市工作重要讲话以及对广东系列重要讲话和重要指示批示精</w:t>
      </w:r>
      <w:bookmarkStart w:id="8" w:name="_GoBack"/>
      <w:bookmarkEnd w:id="8"/>
      <w:r>
        <w:rPr>
          <w:rFonts w:hint="eastAsia"/>
          <w:szCs w:val="32"/>
        </w:rPr>
        <w:t>神，稳妥有序实施城市更新行动，坚持“人民城市人民建、人民城市为人民”重要理念，始终把保护放在第一位，使城乡历史文化遗产得到有效保护、充分利用，加快实现老城市新活力，推动广州高质量发展。</w:t>
      </w:r>
    </w:p>
    <w:p>
      <w:pPr>
        <w:spacing w:line="560" w:lineRule="exact"/>
        <w:ind w:firstLine="640" w:firstLineChars="200"/>
        <w:rPr>
          <w:szCs w:val="32"/>
        </w:rPr>
      </w:pPr>
      <w:r>
        <w:rPr>
          <w:rFonts w:hint="eastAsia" w:ascii="楷体_GB2312" w:hAnsi="楷体_GB2312" w:eastAsia="楷体_GB2312" w:cs="楷体_GB2312"/>
          <w:szCs w:val="32"/>
        </w:rPr>
        <w:t>（二）工作原则</w:t>
      </w:r>
      <w:r>
        <w:rPr>
          <w:rFonts w:hint="eastAsia"/>
          <w:szCs w:val="32"/>
        </w:rPr>
        <w:t>。城市更新要高度重视历史文化保护传承，坚持统筹推进、应保尽保、合理利用、传承发展的原则，系统推进城市更新与历史文化保护，推动历史文化保护传承与城乡建设融合发展，充分发挥历史文化遗产的社会教育作用和使用价值，注重民生改善，不断满足人民日益增长的美好生活需要。</w:t>
      </w:r>
    </w:p>
    <w:p>
      <w:pPr>
        <w:spacing w:line="560" w:lineRule="exact"/>
        <w:ind w:firstLine="640" w:firstLineChars="200"/>
        <w:rPr>
          <w:rFonts w:eastAsia="黑体"/>
          <w:szCs w:val="32"/>
        </w:rPr>
      </w:pPr>
      <w:r>
        <w:rPr>
          <w:rFonts w:hint="eastAsia" w:eastAsia="黑体"/>
          <w:szCs w:val="32"/>
        </w:rPr>
        <w:t>二、深化理解城市更新理念</w:t>
      </w:r>
    </w:p>
    <w:p>
      <w:pPr>
        <w:spacing w:line="560" w:lineRule="exact"/>
        <w:ind w:firstLine="640" w:firstLineChars="200"/>
        <w:rPr>
          <w:szCs w:val="32"/>
        </w:rPr>
      </w:pPr>
      <w:r>
        <w:rPr>
          <w:rFonts w:hint="eastAsia"/>
          <w:szCs w:val="32"/>
        </w:rPr>
        <w:t>（三）落实《广东省城镇居住社区人居环境品质提升工作领导小组办公室关于在实施城市更新行动中防止大拆大建问题有关工作的通知》有关要求，深刻认识实施城市更新行动是贯彻落实习近平生态文明思想、习近平总书记关于城市建设和历史文化保护传承工作的重要论述精神的有力抓手，是适应新发展阶段、贯彻新发展理念、构建新发展格局，推动城市建设高质量的必然要求。</w:t>
      </w:r>
    </w:p>
    <w:p>
      <w:pPr>
        <w:spacing w:line="560" w:lineRule="exact"/>
        <w:ind w:firstLine="640" w:firstLineChars="200"/>
        <w:rPr>
          <w:szCs w:val="32"/>
        </w:rPr>
      </w:pPr>
      <w:r>
        <w:rPr>
          <w:rFonts w:hint="eastAsia"/>
          <w:szCs w:val="32"/>
        </w:rPr>
        <w:t>（四）在城市更新中始终将历史文化保护放在第一位，延续城市历史文脉和肌理、街巷尺度、生活方式等，充分挖掘文化内涵，塑造广州岭南特色城市风貌，不随意改老地名、老字号，让城市留住记忆，让人们记住乡愁。落实《广州市关于在城乡建设中加强历史文化保护传承的实施意见》有关要求，对历史城区、历史文化街区、历史文化名镇名村、历史风貌区、传统村落、不可移动文物、历史建筑、传统风貌建筑、工业遗产等各类历史文化遗产资源，应坚持系统保护、完整保护、全面保护，既要保护单体建筑，也要保护传统格局、历史肌理、传统街巷、空间尺度和景观环境，以及古井、古桥、古树等环境要素，和非物质文化遗产及其依存的文化生态。</w:t>
      </w:r>
    </w:p>
    <w:p>
      <w:pPr>
        <w:spacing w:line="560" w:lineRule="exact"/>
        <w:ind w:firstLine="640" w:firstLineChars="200"/>
        <w:rPr>
          <w:rFonts w:eastAsia="黑体"/>
          <w:szCs w:val="32"/>
        </w:rPr>
      </w:pPr>
      <w:r>
        <w:rPr>
          <w:rFonts w:hint="eastAsia" w:eastAsia="黑体"/>
          <w:szCs w:val="32"/>
        </w:rPr>
        <w:t>三、注重保护历史风貌和传统格局</w:t>
      </w:r>
    </w:p>
    <w:p>
      <w:pPr>
        <w:spacing w:line="560" w:lineRule="exact"/>
        <w:ind w:firstLine="636" w:firstLineChars="199"/>
        <w:rPr>
          <w:rFonts w:ascii="仿宋_GB2312" w:hAnsi="仿宋_GB2312" w:cs="仿宋_GB2312"/>
        </w:rPr>
      </w:pPr>
      <w:r>
        <w:rPr>
          <w:rFonts w:hint="eastAsia" w:ascii="仿宋_GB2312" w:hAnsi="仿宋_GB2312" w:cs="仿宋_GB2312"/>
          <w:szCs w:val="22"/>
        </w:rPr>
        <w:t>（五）保护市域自然山水格局，重点保护传统选址、格局、风貌以及自然和田园景观等整体空间形态与环境。</w:t>
      </w:r>
      <w:r>
        <w:rPr>
          <w:rFonts w:hint="eastAsia" w:ascii="仿宋_GB2312" w:hAnsi="仿宋_GB2312" w:cs="仿宋_GB2312"/>
        </w:rPr>
        <w:t>保护、修复历史城区、历史文化名镇名村、历史文化街区、历史风貌区和传统村落的传统格局、历史风貌和肌理、空间尺度、人文环境及其所依存的地形地貌、河湖水系等自然景观，以及古井、古桥、古树等历史环境要素，注重传承传统营建智慧及其承载的岭南城镇和乡土人居风情、生产生活智慧、文化艺术结晶和民族地域特色。</w:t>
      </w:r>
    </w:p>
    <w:p>
      <w:pPr>
        <w:spacing w:line="560" w:lineRule="exact"/>
        <w:ind w:firstLine="640" w:firstLineChars="200"/>
        <w:rPr>
          <w:rFonts w:eastAsia="黑体"/>
          <w:szCs w:val="32"/>
        </w:rPr>
      </w:pPr>
      <w:r>
        <w:rPr>
          <w:rFonts w:hint="eastAsia" w:eastAsia="黑体"/>
          <w:szCs w:val="32"/>
        </w:rPr>
        <w:t>四、严格开展历史文化遗产调查评估</w:t>
      </w:r>
    </w:p>
    <w:p>
      <w:pPr>
        <w:spacing w:line="560" w:lineRule="exact"/>
        <w:ind w:firstLine="636" w:firstLineChars="199"/>
        <w:rPr>
          <w:rFonts w:ascii="仿宋" w:hAnsi="仿宋" w:eastAsia="仿宋"/>
          <w:szCs w:val="22"/>
        </w:rPr>
      </w:pPr>
      <w:r>
        <w:rPr>
          <w:rFonts w:hint="eastAsia" w:ascii="仿宋_GB2312" w:hAnsi="仿宋_GB2312" w:cs="仿宋_GB2312"/>
          <w:szCs w:val="22"/>
        </w:rPr>
        <w:t>（六）城市更新项目改造范围，结合城市更新基础数据调查工作，同步开展历史文化遗产调查评估，严格如实编制历史文化遗产调查评估报告（附件），提出保护措施。历史文化遗产调查评估报告经征求意见、专</w:t>
      </w:r>
      <w:r>
        <w:rPr>
          <w:rFonts w:hint="eastAsia"/>
        </w:rPr>
        <w:t>家论证、公示后，纳入</w:t>
      </w:r>
      <w:r>
        <w:rPr>
          <w:rFonts w:hint="eastAsia" w:ascii="仿宋" w:hAnsi="仿宋"/>
        </w:rPr>
        <w:t>立项可研、土地收储、详细规划编制及调整、城市更新片区策划方案及项目实施方案的</w:t>
      </w:r>
      <w:r>
        <w:rPr>
          <w:rFonts w:ascii="仿宋" w:hAnsi="仿宋"/>
        </w:rPr>
        <w:t>报批</w:t>
      </w:r>
      <w:r>
        <w:rPr>
          <w:rFonts w:hint="eastAsia" w:ascii="仿宋" w:hAnsi="仿宋"/>
        </w:rPr>
        <w:t>成果。</w:t>
      </w:r>
    </w:p>
    <w:p>
      <w:pPr>
        <w:spacing w:line="560" w:lineRule="exact"/>
        <w:ind w:firstLine="640" w:firstLineChars="200"/>
        <w:rPr>
          <w:rFonts w:eastAsia="黑体"/>
          <w:szCs w:val="32"/>
        </w:rPr>
      </w:pPr>
      <w:r>
        <w:rPr>
          <w:rFonts w:hint="eastAsia" w:eastAsia="黑体"/>
          <w:szCs w:val="32"/>
        </w:rPr>
        <w:t>五、城市更新加强历史文化保护传承的负面清单</w:t>
      </w:r>
    </w:p>
    <w:p>
      <w:pPr>
        <w:spacing w:line="560" w:lineRule="exact"/>
        <w:ind w:firstLine="636" w:firstLineChars="199"/>
        <w:rPr>
          <w:rFonts w:ascii="仿宋_GB2312" w:hAnsi="仿宋_GB2312" w:cs="仿宋_GB2312"/>
        </w:rPr>
      </w:pPr>
      <w:r>
        <w:rPr>
          <w:rFonts w:hint="eastAsia"/>
          <w:szCs w:val="32"/>
        </w:rPr>
        <w:t>（七）历史文化街区、历史文化名镇、历史文化名村、历史风貌区、传统村落保护范围内不适用全面改造，原则上以现状保留及微改造为主。</w:t>
      </w:r>
      <w:r>
        <w:rPr>
          <w:rFonts w:hint="eastAsia" w:ascii="仿宋_GB2312" w:hAnsi="仿宋_GB2312" w:cs="仿宋_GB2312"/>
        </w:rPr>
        <w:t>保护规划未经批准，不得审批详细规划</w:t>
      </w:r>
      <w:del w:id="5" w:author="周志炫" w:date="2022-08-10T12:05:41Z">
        <w:r>
          <w:rPr>
            <w:rFonts w:hint="eastAsia" w:ascii="仿宋_GB2312" w:hAnsi="仿宋_GB2312" w:cs="仿宋_GB2312"/>
          </w:rPr>
          <w:delText>、</w:delText>
        </w:r>
      </w:del>
      <w:ins w:id="6" w:author="周志炫" w:date="2022-08-10T12:05:41Z">
        <w:r>
          <w:rPr>
            <w:rFonts w:hint="eastAsia" w:ascii="仿宋_GB2312" w:hAnsi="仿宋_GB2312" w:cs="仿宋_GB2312"/>
            <w:lang w:eastAsia="zh-CN"/>
          </w:rPr>
          <w:t>，</w:t>
        </w:r>
      </w:ins>
      <w:ins w:id="7" w:author="周志炫" w:date="2022-08-10T12:05:38Z">
        <w:r>
          <w:rPr>
            <w:rFonts w:hint="eastAsia" w:ascii="仿宋_GB2312" w:hAnsi="仿宋_GB2312" w:cs="仿宋_GB2312"/>
            <w:lang w:eastAsia="zh-CN"/>
          </w:rPr>
          <w:t>不得</w:t>
        </w:r>
      </w:ins>
      <w:ins w:id="8" w:author="周志炫" w:date="2022-08-10T12:05:39Z">
        <w:r>
          <w:rPr>
            <w:rFonts w:hint="eastAsia" w:ascii="仿宋_GB2312" w:hAnsi="仿宋_GB2312" w:cs="仿宋_GB2312"/>
            <w:lang w:eastAsia="zh-CN"/>
          </w:rPr>
          <w:t>审定</w:t>
        </w:r>
      </w:ins>
      <w:r>
        <w:rPr>
          <w:rFonts w:hint="eastAsia" w:ascii="仿宋_GB2312" w:hAnsi="仿宋_GB2312" w:cs="仿宋_GB2312"/>
        </w:rPr>
        <w:t>片区策划方案、项目实施方案。</w:t>
      </w:r>
      <w:r>
        <w:rPr>
          <w:rFonts w:hint="eastAsia"/>
          <w:szCs w:val="32"/>
        </w:rPr>
        <w:t>分类审慎处置既有建筑，推行小规模、渐进式有机更新和微改造。</w:t>
      </w:r>
    </w:p>
    <w:p>
      <w:pPr>
        <w:spacing w:line="560" w:lineRule="exact"/>
        <w:ind w:firstLine="640" w:firstLineChars="200"/>
        <w:rPr>
          <w:szCs w:val="32"/>
        </w:rPr>
      </w:pPr>
      <w:r>
        <w:rPr>
          <w:rFonts w:hint="eastAsia"/>
          <w:szCs w:val="32"/>
        </w:rPr>
        <w:t>（八）落实《广州市关于在城市更新行动中防止大拆大建问题的实施意见（试行）》有关要求，历史城区内严格控制大规模拆除，除违法建筑和经专业机构鉴定为危房且无修缮保留价值的建筑外，不大规模、成片集中拆除现状建筑。严格控制新增建设量和建筑高度，除增建必要的公共服务设施外，不大规模新增历史城区建设规模，不突破原有密度强度，不增加资源环境承载压力。</w:t>
      </w:r>
    </w:p>
    <w:p>
      <w:pPr>
        <w:spacing w:line="560" w:lineRule="exact"/>
        <w:ind w:firstLine="640" w:firstLineChars="200"/>
        <w:rPr>
          <w:rFonts w:ascii="仿宋_GB2312" w:hAnsi="仿宋_GB2312" w:cs="仿宋_GB2312"/>
        </w:rPr>
      </w:pPr>
      <w:r>
        <w:rPr>
          <w:rFonts w:hint="eastAsia"/>
          <w:szCs w:val="32"/>
        </w:rPr>
        <w:t>（九）落实《广州市关于在城乡建设中加强历史文化保护传承的实施意见》有关要求，</w:t>
      </w:r>
      <w:r>
        <w:rPr>
          <w:rFonts w:hint="eastAsia" w:ascii="仿宋_GB2312" w:hAnsi="仿宋_GB2312" w:cs="仿宋_GB2312"/>
        </w:rPr>
        <w:t>重点修复传统建筑集中连片区，整治不协调建筑和景观，避免填塘、拉直道路等改变历史格局和风貌的行为，禁止没有依据的重建和仿制，合理控制商业开发面积比例，严禁以保护利用为由将原住民全部迁出。</w:t>
      </w:r>
    </w:p>
    <w:p>
      <w:pPr>
        <w:spacing w:line="560" w:lineRule="exact"/>
        <w:ind w:firstLine="640" w:firstLineChars="200"/>
        <w:rPr>
          <w:szCs w:val="32"/>
        </w:rPr>
      </w:pPr>
      <w:r>
        <w:rPr>
          <w:rFonts w:hint="eastAsia"/>
          <w:szCs w:val="32"/>
        </w:rPr>
        <w:t>（十）落实《广州市关于在城乡建设中加强历史文化保护传承的实施意见》有关要求，</w:t>
      </w:r>
      <w:r>
        <w:rPr>
          <w:rFonts w:hint="eastAsia" w:ascii="仿宋_GB2312" w:hAnsi="仿宋_GB2312" w:cs="仿宋_GB2312"/>
        </w:rPr>
        <w:t>在城市更新中禁止大拆大建、拆真建假、以假乱真，不破坏地形地貌、不砍老树，不破坏传统风貌，不挖山填湖，不随意改变或侵占河湖水系，不随意更改老地名。切实保护能够体现城市特定发展阶段、反映重要历史事件、凝聚社会公众情感记忆的既有建筑，不随意拆除具有保护价值的老建筑、古民居。对于因公共利益需要或者存在安全隐患不得不拆除的，应进行评估论证，广泛听取相关部门和公众意见，严格按照法定程序审批后方可实施拆除、迁移、改造。</w:t>
      </w:r>
    </w:p>
    <w:p>
      <w:pPr>
        <w:spacing w:line="560" w:lineRule="exact"/>
        <w:ind w:firstLine="640" w:firstLineChars="200"/>
        <w:rPr>
          <w:szCs w:val="32"/>
        </w:rPr>
      </w:pPr>
      <w:r>
        <w:rPr>
          <w:rFonts w:hint="eastAsia" w:ascii="仿宋_GB2312" w:hAnsi="仿宋_GB2312" w:cs="仿宋_GB2312"/>
        </w:rPr>
        <w:t>（十一）</w:t>
      </w:r>
      <w:r>
        <w:rPr>
          <w:rFonts w:hint="eastAsia"/>
          <w:szCs w:val="32"/>
        </w:rPr>
        <w:t>落实《广东省城镇居住社区人居环境品质提升工作领导小组办公室关于在实施城市更新行动中防止大拆大建问题有关工作的通知》《广州市关于在城市更新行动中防止大拆大建问题的实施意见（试行）》有关要求，未开展历史文化遗产调查评估，不应实施城市更新。历史文化遗产调查评估报告未经征求相关部门意见、专家论证等程序的，不得审批详细规划</w:t>
      </w:r>
      <w:del w:id="9" w:author="周志炫" w:date="2022-08-10T12:05:51Z">
        <w:r>
          <w:rPr>
            <w:rFonts w:hint="eastAsia"/>
            <w:szCs w:val="32"/>
          </w:rPr>
          <w:delText>、</w:delText>
        </w:r>
      </w:del>
      <w:ins w:id="10" w:author="周志炫" w:date="2022-08-10T12:05:51Z">
        <w:r>
          <w:rPr>
            <w:rFonts w:hint="eastAsia"/>
            <w:szCs w:val="32"/>
            <w:lang w:eastAsia="zh-CN"/>
          </w:rPr>
          <w:t>，</w:t>
        </w:r>
      </w:ins>
      <w:ins w:id="11" w:author="周志炫" w:date="2022-08-10T12:05:48Z">
        <w:r>
          <w:rPr>
            <w:rFonts w:hint="eastAsia"/>
            <w:szCs w:val="32"/>
            <w:lang w:eastAsia="zh-CN"/>
          </w:rPr>
          <w:t>不得</w:t>
        </w:r>
      </w:ins>
      <w:ins w:id="12" w:author="周志炫" w:date="2022-08-10T12:05:49Z">
        <w:r>
          <w:rPr>
            <w:rFonts w:hint="eastAsia"/>
            <w:szCs w:val="32"/>
            <w:lang w:eastAsia="zh-CN"/>
          </w:rPr>
          <w:t>审定</w:t>
        </w:r>
      </w:ins>
      <w:r>
        <w:rPr>
          <w:rFonts w:hint="eastAsia"/>
          <w:szCs w:val="32"/>
        </w:rPr>
        <w:t>片区策划方案、项目实施方案。</w:t>
      </w:r>
    </w:p>
    <w:p>
      <w:pPr>
        <w:spacing w:line="560" w:lineRule="exact"/>
        <w:ind w:firstLine="640" w:firstLineChars="200"/>
        <w:rPr>
          <w:rFonts w:eastAsia="黑体"/>
          <w:szCs w:val="32"/>
        </w:rPr>
      </w:pPr>
      <w:r>
        <w:rPr>
          <w:rFonts w:hint="eastAsia" w:eastAsia="黑体"/>
          <w:szCs w:val="32"/>
        </w:rPr>
        <w:t>六、以人民为中心强功能补短板惠民生</w:t>
      </w:r>
    </w:p>
    <w:p>
      <w:pPr>
        <w:spacing w:line="560" w:lineRule="exact"/>
        <w:ind w:firstLine="640" w:firstLineChars="200"/>
        <w:rPr>
          <w:szCs w:val="32"/>
        </w:rPr>
      </w:pPr>
      <w:r>
        <w:rPr>
          <w:rFonts w:hint="eastAsia"/>
          <w:szCs w:val="32"/>
        </w:rPr>
        <w:t>（十二）落实《广州市关于在城乡建设中加强历史文化保护传承的实施意见》有关要求，鼓励采用“绣花”功夫进行修补、织补式更新，增加历史文化名镇名村、传统村落、历史文化街区、历史风貌区等的公共空间，补足配套基础设施和公共服务设施短板。</w:t>
      </w:r>
    </w:p>
    <w:p>
      <w:pPr>
        <w:spacing w:line="560" w:lineRule="exact"/>
        <w:ind w:firstLine="640" w:firstLineChars="200"/>
        <w:rPr>
          <w:szCs w:val="32"/>
        </w:rPr>
      </w:pPr>
      <w:r>
        <w:rPr>
          <w:rFonts w:hint="eastAsia"/>
          <w:szCs w:val="32"/>
        </w:rPr>
        <w:t>（十三）落实《广州市关于在城乡建设中加强历史文化保护传承的实施意见》有关要求，坚持保用并举、以用促保，鼓励历史文化遗产活化利用，进行多功能使用，设立博物馆、纪念馆、社区服务中心、民俗文化体验馆等，鼓励用作非物质文化遗产保护、岭南民间工艺传承、中华老字号经营等，鼓励引入众创空间、商务办公、文化创意、科技孵化、特色餐饮、民宿客栈、人才公寓等，有关要求按照有关法律、法规和相关文件规定执行。</w:t>
      </w:r>
    </w:p>
    <w:p>
      <w:pPr>
        <w:spacing w:line="560" w:lineRule="exact"/>
        <w:ind w:firstLine="640" w:firstLineChars="200"/>
        <w:rPr>
          <w:szCs w:val="32"/>
        </w:rPr>
      </w:pPr>
      <w:r>
        <w:rPr>
          <w:rFonts w:hint="eastAsia"/>
          <w:szCs w:val="32"/>
        </w:rPr>
        <w:t>（十四）鼓励引入各类社会资金参与，以收购、产权置换等方式对历史文化遗产进行合理利用。鼓励金融机构为历史文化遗产保护建设和改造提供融资服务、普惠金融产品、融资担保等。履行历史文化遗产保护责任，将历史文化遗产用于公益性功能的，可全部不计入容积率。</w:t>
      </w:r>
    </w:p>
    <w:p>
      <w:pPr>
        <w:spacing w:line="560" w:lineRule="exact"/>
        <w:ind w:firstLine="640" w:firstLineChars="200"/>
        <w:rPr>
          <w:szCs w:val="32"/>
        </w:rPr>
      </w:pPr>
      <w:r>
        <w:rPr>
          <w:rFonts w:hint="eastAsia"/>
          <w:szCs w:val="32"/>
        </w:rPr>
        <w:t>（十五）历史文化保护利用项目可与更新项目组合实施，实行统一规划、统一实施、统一运营。因历史文化保护需要难以在项目所在地块实现经济平衡的，在总建设量平衡且符合历史文化名城保护要求的前提下，允许优先在地块所在的更新单元内进行容积率转移。确有困难的，可在项目所在的行政区范围内统筹，</w:t>
      </w:r>
      <w:r>
        <w:rPr>
          <w:rFonts w:hint="eastAsia"/>
          <w:szCs w:val="32"/>
          <w:lang w:val="zh-CN"/>
        </w:rPr>
        <w:t>经市政府同意可在全市范围内统筹</w:t>
      </w:r>
      <w:r>
        <w:rPr>
          <w:rFonts w:hint="eastAsia"/>
          <w:szCs w:val="32"/>
        </w:rPr>
        <w:t>。</w:t>
      </w:r>
    </w:p>
    <w:p>
      <w:pPr>
        <w:spacing w:line="560" w:lineRule="exact"/>
        <w:ind w:firstLine="640" w:firstLineChars="200"/>
        <w:rPr>
          <w:szCs w:val="32"/>
        </w:rPr>
      </w:pPr>
      <w:r>
        <w:rPr>
          <w:rFonts w:hint="eastAsia"/>
          <w:szCs w:val="32"/>
        </w:rPr>
        <w:t>（十六）因保护保留历史文化街区、历史文化名镇、历史文化名村、历史风貌区、传统村落、文物古迹、古树名木、历史建筑、传统风貌建筑，以及详细规划、保护规划明确需要保留保护的建筑物所产生的成本纳入改造成本核算。</w:t>
      </w:r>
    </w:p>
    <w:p>
      <w:pPr>
        <w:spacing w:line="560" w:lineRule="exact"/>
        <w:ind w:firstLine="640" w:firstLineChars="200"/>
        <w:rPr>
          <w:rFonts w:eastAsia="黑体"/>
          <w:szCs w:val="32"/>
        </w:rPr>
      </w:pPr>
      <w:r>
        <w:rPr>
          <w:rFonts w:hint="eastAsia" w:eastAsia="黑体"/>
          <w:szCs w:val="32"/>
        </w:rPr>
        <w:t>七、加强风貌管控</w:t>
      </w:r>
    </w:p>
    <w:p>
      <w:pPr>
        <w:spacing w:line="560" w:lineRule="exact"/>
        <w:ind w:firstLine="636" w:firstLineChars="199"/>
        <w:rPr>
          <w:szCs w:val="32"/>
        </w:rPr>
      </w:pPr>
      <w:r>
        <w:rPr>
          <w:rFonts w:hint="eastAsia"/>
          <w:szCs w:val="32"/>
        </w:rPr>
        <w:t>（十七）城市更新应遵循留改拆并举、以保留保护为主的原则，实施城市修复和功能完善工程。加强城市与建筑风貌管理，严格管控新建建筑，对历史文化遗产项目更多采用微改造的“绣花功夫</w:t>
      </w:r>
      <w:r>
        <w:rPr>
          <w:rFonts w:hint="eastAsia" w:ascii="仿宋_GB2312" w:hAnsi="仿宋_GB2312" w:cs="仿宋_GB2312"/>
          <w:szCs w:val="32"/>
        </w:rPr>
        <w:t>”</w:t>
      </w:r>
      <w:r>
        <w:rPr>
          <w:rFonts w:hint="eastAsia"/>
          <w:szCs w:val="32"/>
        </w:rPr>
        <w:t>，突出岭南特色，注重人居环境改善，延续历史风貌。</w:t>
      </w:r>
    </w:p>
    <w:p>
      <w:pPr>
        <w:spacing w:line="560" w:lineRule="exact"/>
        <w:ind w:firstLine="636" w:firstLineChars="199"/>
        <w:rPr>
          <w:szCs w:val="32"/>
        </w:rPr>
      </w:pPr>
      <w:r>
        <w:rPr>
          <w:rFonts w:hint="eastAsia"/>
          <w:szCs w:val="32"/>
        </w:rPr>
        <w:t>（十八）应加强历史文化遗产及周边地区的城市设计，加强建设活动管控和建筑、雕塑、景观设计引导，保护好传统文化基因，鼓励继承创新，保持历史文化遗产及周边地区的整体空间形态和内在关系，在形体、色彩、体量、高度和空间环境等方面实现新旧融合，展现城市特色，体现城市魅力。</w:t>
      </w:r>
    </w:p>
    <w:p>
      <w:pPr>
        <w:spacing w:line="560" w:lineRule="exact"/>
        <w:ind w:firstLine="640" w:firstLineChars="200"/>
        <w:rPr>
          <w:rFonts w:eastAsia="黑体"/>
          <w:szCs w:val="32"/>
        </w:rPr>
      </w:pPr>
      <w:r>
        <w:rPr>
          <w:rFonts w:hint="eastAsia" w:eastAsia="黑体"/>
          <w:szCs w:val="32"/>
        </w:rPr>
        <w:t>八、弘扬历史文化</w:t>
      </w:r>
    </w:p>
    <w:p>
      <w:pPr>
        <w:spacing w:line="560" w:lineRule="exact"/>
        <w:ind w:firstLine="640" w:firstLineChars="200"/>
        <w:rPr>
          <w:szCs w:val="32"/>
        </w:rPr>
      </w:pPr>
      <w:r>
        <w:rPr>
          <w:rFonts w:hint="eastAsia"/>
          <w:szCs w:val="32"/>
        </w:rPr>
        <w:t>（十九）保护各个时期的历史记忆，注重历史文化遗产价值的完整性，挖掘和保护历史文化遗产的历史、文化、艺术、科学、经济、社会等价值。传承优秀的传统价值观、传统习俗、传统技艺和文化活动，着重保护与之相关的祠堂、骑楼等特色实物、场所和非物质文化遗产，让历史文化与现代生活融为一体。</w:t>
      </w:r>
    </w:p>
    <w:p>
      <w:pPr>
        <w:spacing w:line="560" w:lineRule="exact"/>
        <w:ind w:firstLine="640" w:firstLineChars="200"/>
        <w:rPr>
          <w:rFonts w:eastAsia="黑体"/>
          <w:szCs w:val="32"/>
        </w:rPr>
      </w:pPr>
      <w:r>
        <w:rPr>
          <w:rFonts w:hint="eastAsia" w:eastAsia="黑体"/>
          <w:szCs w:val="32"/>
        </w:rPr>
        <w:t>九、推动多方参与</w:t>
      </w:r>
    </w:p>
    <w:p>
      <w:pPr>
        <w:numPr>
          <w:ilvl w:val="255"/>
          <w:numId w:val="0"/>
        </w:numPr>
        <w:spacing w:line="560" w:lineRule="exact"/>
        <w:rPr>
          <w:szCs w:val="32"/>
        </w:rPr>
      </w:pPr>
      <w:r>
        <w:rPr>
          <w:rFonts w:hint="eastAsia"/>
          <w:szCs w:val="32"/>
        </w:rPr>
        <w:t xml:space="preserve">    （二十）落实《广州市关于在城乡建设中加强历史文化保护传承的实施意见》有关要求，在城市更新中鼓励各方主体在城乡历史文化保护传承的规划、建设、管理各环节发挥积极作用，提高全社会参与度。善用外脑智库，组建市区两级专家顾问团队，吸纳国内外高校、专业机构等技术团队，名城守护官、名城保护联盟等志愿组织和社区规划师等社会力量参与规划建设。</w:t>
      </w:r>
    </w:p>
    <w:p>
      <w:pPr>
        <w:spacing w:line="560" w:lineRule="exact"/>
        <w:ind w:firstLine="640" w:firstLineChars="200"/>
        <w:rPr>
          <w:rFonts w:eastAsia="黑体"/>
          <w:szCs w:val="32"/>
        </w:rPr>
      </w:pPr>
      <w:r>
        <w:rPr>
          <w:rFonts w:hint="eastAsia" w:eastAsia="黑体"/>
          <w:szCs w:val="32"/>
        </w:rPr>
        <w:t>十、严格落实保护优先</w:t>
      </w:r>
    </w:p>
    <w:p>
      <w:pPr>
        <w:spacing w:line="560" w:lineRule="exact"/>
        <w:ind w:firstLine="640" w:firstLineChars="200"/>
        <w:rPr>
          <w:szCs w:val="32"/>
        </w:rPr>
      </w:pPr>
      <w:r>
        <w:rPr>
          <w:rFonts w:hint="eastAsia"/>
          <w:szCs w:val="32"/>
        </w:rPr>
        <w:t>（二十一）城市更新项目涉及历史城区、历史文化街区、历史文化名镇、历史文化名村、历史风貌区、传统村落、文物古迹、古树名木、历史建筑、传统风貌建筑等历史文化遗产的，按照相关法律法规要求进行保护，并依法办理审批手续。</w:t>
      </w:r>
    </w:p>
    <w:p>
      <w:pPr>
        <w:spacing w:line="560" w:lineRule="exact"/>
        <w:ind w:firstLine="640" w:firstLineChars="200"/>
        <w:rPr>
          <w:szCs w:val="32"/>
        </w:rPr>
      </w:pPr>
      <w:r>
        <w:rPr>
          <w:rFonts w:hint="eastAsia"/>
          <w:szCs w:val="32"/>
        </w:rPr>
        <w:t>（二十二）城市更新项目应当优先保护历史文化遗产，涉及历史文化遗产的修缮、迁移等保护工程，应当与公共服务设施和市政基础设施的实施建设同步推进。</w:t>
      </w:r>
    </w:p>
    <w:p>
      <w:pPr>
        <w:spacing w:line="560" w:lineRule="exact"/>
        <w:ind w:firstLine="640" w:firstLineChars="200"/>
        <w:rPr>
          <w:szCs w:val="32"/>
        </w:rPr>
      </w:pPr>
      <w:r>
        <w:rPr>
          <w:rFonts w:hint="eastAsia"/>
          <w:szCs w:val="32"/>
        </w:rPr>
        <w:t>（二十三）落实《广州市关于在城市更新行动中防止大拆大建问题的实施意见（试行）》有关要求，施工范围内涉及历史文化遗产的，应加强施工管理，采取标识、围蔽等有效措施，确保历史文化遗产以及有保护价值资源等的安全保护，同时依法依规做好保护修缮工作。</w:t>
      </w:r>
    </w:p>
    <w:p>
      <w:pPr>
        <w:spacing w:line="560" w:lineRule="exact"/>
        <w:ind w:firstLine="640" w:firstLineChars="200"/>
        <w:rPr>
          <w:rFonts w:eastAsia="黑体"/>
          <w:szCs w:val="32"/>
        </w:rPr>
      </w:pPr>
      <w:r>
        <w:rPr>
          <w:rFonts w:hint="eastAsia" w:eastAsia="黑体"/>
          <w:szCs w:val="32"/>
        </w:rPr>
        <w:t>十一、加强组织领导</w:t>
      </w:r>
    </w:p>
    <w:p>
      <w:pPr>
        <w:spacing w:line="560" w:lineRule="exact"/>
        <w:ind w:firstLine="640" w:firstLineChars="200"/>
        <w:rPr>
          <w:szCs w:val="32"/>
        </w:rPr>
      </w:pPr>
      <w:r>
        <w:rPr>
          <w:rFonts w:hint="eastAsia"/>
          <w:szCs w:val="32"/>
        </w:rPr>
        <w:t>（二十四）各区人民政府、各部门按本指导意见落实，统一思想，周密部署，加强督促检查，深入推进城市更新促进历史文化保护传承。</w:t>
      </w:r>
    </w:p>
    <w:p>
      <w:pPr>
        <w:spacing w:line="560" w:lineRule="exact"/>
        <w:ind w:firstLine="640" w:firstLineChars="200"/>
        <w:rPr>
          <w:kern w:val="0"/>
          <w:szCs w:val="32"/>
          <w:shd w:val="clear" w:color="auto" w:fill="FFFFFF"/>
        </w:rPr>
      </w:pPr>
      <w:r>
        <w:rPr>
          <w:rFonts w:hint="eastAsia"/>
          <w:kern w:val="0"/>
          <w:szCs w:val="32"/>
          <w:shd w:val="clear" w:color="auto" w:fill="FFFFFF"/>
        </w:rPr>
        <w:t>（二十五）</w:t>
      </w:r>
      <w:r>
        <w:rPr>
          <w:rFonts w:hint="eastAsia"/>
          <w:szCs w:val="32"/>
        </w:rPr>
        <w:t xml:space="preserve">区人民政府是推进本行政区域内历史文化保护传承的实施主体，应当在深入推进城市更新工作中，严格落实历史文化遗产保护责任。 </w:t>
      </w:r>
    </w:p>
    <w:p>
      <w:pPr>
        <w:spacing w:line="560" w:lineRule="exact"/>
        <w:ind w:firstLine="640" w:firstLineChars="200"/>
        <w:rPr>
          <w:rFonts w:eastAsia="黑体"/>
          <w:szCs w:val="32"/>
        </w:rPr>
      </w:pPr>
      <w:r>
        <w:rPr>
          <w:rFonts w:hint="eastAsia" w:eastAsia="黑体"/>
          <w:szCs w:val="32"/>
        </w:rPr>
        <w:t>十二、强化监督责任</w:t>
      </w:r>
    </w:p>
    <w:p>
      <w:pPr>
        <w:spacing w:line="560" w:lineRule="exact"/>
        <w:ind w:firstLine="640" w:firstLineChars="200"/>
        <w:rPr>
          <w:szCs w:val="32"/>
        </w:rPr>
      </w:pPr>
      <w:r>
        <w:rPr>
          <w:rFonts w:hint="eastAsia"/>
          <w:szCs w:val="32"/>
        </w:rPr>
        <w:t>（二十六）各区人民政府要切实履行主体责任，加强日常巡查监督和实施检查的工作，在城市更新中优先保护文物、历史建筑等历史文化遗产。保持高压态势，</w:t>
      </w:r>
      <w:r>
        <w:rPr>
          <w:rFonts w:hint="eastAsia" w:ascii="仿宋_GB2312" w:hAnsi="仿宋_GB2312" w:cs="仿宋_GB2312"/>
          <w:szCs w:val="32"/>
        </w:rPr>
        <w:t>以“零容忍”的</w:t>
      </w:r>
      <w:r>
        <w:rPr>
          <w:rFonts w:hint="eastAsia"/>
          <w:szCs w:val="32"/>
        </w:rPr>
        <w:t>态度重拳打击拆除、破坏、涂损历史文化遗产行为。</w:t>
      </w:r>
    </w:p>
    <w:p>
      <w:pPr>
        <w:spacing w:line="560" w:lineRule="exact"/>
        <w:ind w:firstLine="640" w:firstLineChars="200"/>
        <w:rPr>
          <w:szCs w:val="32"/>
        </w:rPr>
      </w:pPr>
    </w:p>
    <w:p>
      <w:pPr>
        <w:spacing w:line="560" w:lineRule="exact"/>
        <w:ind w:firstLine="640" w:firstLineChars="200"/>
        <w:rPr>
          <w:szCs w:val="32"/>
        </w:rPr>
      </w:pPr>
      <w:r>
        <w:rPr>
          <w:rFonts w:hint="eastAsia"/>
          <w:szCs w:val="32"/>
        </w:rPr>
        <w:t>附件：广州市城乡建设项目历史文化遗产调查评估报告参考模板</w:t>
      </w:r>
    </w:p>
    <w:p/>
    <w:p>
      <w:pPr>
        <w:widowControl/>
        <w:spacing w:line="560" w:lineRule="exact"/>
        <w:jc w:val="left"/>
      </w:pPr>
      <w:r>
        <w:br w:type="page"/>
      </w:r>
    </w:p>
    <w:p>
      <w:pPr>
        <w:spacing w:line="560" w:lineRule="exact"/>
        <w:outlineLvl w:val="0"/>
        <w:rPr>
          <w:rFonts w:ascii="黑体" w:hAnsi="黑体" w:eastAsia="黑体"/>
          <w:b/>
          <w:bCs/>
          <w:szCs w:val="32"/>
        </w:rPr>
      </w:pPr>
      <w:r>
        <w:rPr>
          <w:rFonts w:hint="eastAsia" w:ascii="黑体" w:hAnsi="黑体" w:eastAsia="黑体"/>
          <w:b/>
          <w:bCs/>
          <w:szCs w:val="32"/>
        </w:rPr>
        <w:t>附件：广州市</w:t>
      </w:r>
      <w:bookmarkStart w:id="2" w:name="_Hlk84617928"/>
      <w:r>
        <w:rPr>
          <w:rFonts w:hint="eastAsia" w:ascii="黑体" w:hAnsi="黑体" w:eastAsia="黑体"/>
          <w:b/>
          <w:bCs/>
          <w:szCs w:val="32"/>
        </w:rPr>
        <w:t>城乡建设项目历史文化遗产调查评估报告参考模板</w:t>
      </w:r>
      <w:bookmarkEnd w:id="2"/>
    </w:p>
    <w:p/>
    <w:p>
      <w:pPr>
        <w:ind w:firstLine="640"/>
      </w:pPr>
    </w:p>
    <w:p>
      <w:pPr>
        <w:ind w:firstLine="640"/>
      </w:pPr>
    </w:p>
    <w:p>
      <w:pPr>
        <w:jc w:val="center"/>
        <w:rPr>
          <w:rFonts w:ascii="微软雅黑" w:hAnsi="微软雅黑"/>
          <w:b/>
          <w:sz w:val="44"/>
          <w:szCs w:val="44"/>
        </w:rPr>
      </w:pPr>
      <w:r>
        <w:rPr>
          <w:rFonts w:hint="eastAsia" w:ascii="微软雅黑" w:hAnsi="微软雅黑"/>
          <w:b/>
          <w:sz w:val="44"/>
          <w:szCs w:val="44"/>
        </w:rPr>
        <w:t>XX项目</w:t>
      </w:r>
      <w:r>
        <w:rPr>
          <w:rFonts w:hint="eastAsia" w:ascii="微软雅黑" w:hAnsi="微软雅黑"/>
          <w:b/>
          <w:sz w:val="44"/>
          <w:szCs w:val="44"/>
        </w:rPr>
        <w:br w:type="textWrapping"/>
      </w:r>
      <w:r>
        <w:rPr>
          <w:rFonts w:hint="eastAsia" w:ascii="微软雅黑" w:hAnsi="微软雅黑"/>
          <w:b/>
          <w:sz w:val="44"/>
          <w:szCs w:val="44"/>
        </w:rPr>
        <w:t>历史文化遗产调查评估报告</w:t>
      </w:r>
    </w:p>
    <w:p>
      <w:pPr>
        <w:jc w:val="center"/>
        <w:rPr>
          <w:rFonts w:ascii="宋体" w:hAnsi="宋体"/>
          <w:b/>
          <w:sz w:val="36"/>
        </w:rPr>
      </w:pPr>
    </w:p>
    <w:p>
      <w:pPr>
        <w:jc w:val="center"/>
        <w:rPr>
          <w:rFonts w:ascii="宋体" w:hAnsi="宋体"/>
          <w:b/>
          <w:sz w:val="36"/>
        </w:rPr>
      </w:pPr>
    </w:p>
    <w:p>
      <w:pPr>
        <w:ind w:firstLine="640"/>
        <w:rPr>
          <w:rFonts w:ascii="宋体" w:hAnsi="宋体"/>
        </w:rPr>
      </w:pPr>
    </w:p>
    <w:p>
      <w:pPr>
        <w:ind w:firstLine="640"/>
        <w:rPr>
          <w:rFonts w:ascii="宋体" w:hAnsi="宋体"/>
        </w:rPr>
      </w:pPr>
    </w:p>
    <w:p>
      <w:pPr>
        <w:ind w:firstLine="640"/>
        <w:rPr>
          <w:rFonts w:ascii="宋体" w:hAnsi="宋体"/>
        </w:rPr>
      </w:pPr>
    </w:p>
    <w:p>
      <w:pPr>
        <w:ind w:firstLine="640"/>
        <w:rPr>
          <w:rFonts w:ascii="宋体" w:hAnsi="宋体"/>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650240</wp:posOffset>
                </wp:positionV>
                <wp:extent cx="5536565" cy="920115"/>
                <wp:effectExtent l="0" t="0" r="0" b="0"/>
                <wp:wrapSquare wrapText="bothSides"/>
                <wp:docPr id="1028" name="文本框 2"/>
                <wp:cNvGraphicFramePr/>
                <a:graphic xmlns:a="http://schemas.openxmlformats.org/drawingml/2006/main">
                  <a:graphicData uri="http://schemas.microsoft.com/office/word/2010/wordprocessingShape">
                    <wps:wsp>
                      <wps:cNvSpPr/>
                      <wps:spPr>
                        <a:xfrm>
                          <a:off x="0" y="0"/>
                          <a:ext cx="5536565" cy="1404620"/>
                        </a:xfrm>
                        <a:prstGeom prst="rect">
                          <a:avLst/>
                        </a:prstGeom>
                        <a:noFill/>
                        <a:ln>
                          <a:noFill/>
                        </a:ln>
                        <a:effectLst/>
                      </wps:spPr>
                      <wps:txbx>
                        <w:txbxContent>
                          <w:p>
                            <w:pPr>
                              <w:rPr>
                                <w:rFonts w:ascii="黑体" w:hAnsi="黑体" w:eastAsia="黑体"/>
                                <w:sz w:val="22"/>
                                <w:szCs w:val="44"/>
                              </w:rPr>
                            </w:pPr>
                            <w:r>
                              <w:rPr>
                                <w:rFonts w:hint="eastAsia" w:ascii="黑体" w:hAnsi="黑体" w:eastAsia="黑体"/>
                                <w:sz w:val="22"/>
                                <w:szCs w:val="44"/>
                              </w:rPr>
                              <w:t>（仅供参考，本模板目的为明确城乡建设项目历史文化遗产调查评估报告成果重点，具体内容、</w:t>
                            </w:r>
                            <w:del w:id="13" w:author="NTKO" w:date="2023-09-08T15:34:45Z">
                              <w:r>
                                <w:rPr>
                                  <w:rFonts w:hint="eastAsia" w:ascii="黑体" w:hAnsi="黑体" w:eastAsia="黑体"/>
                                  <w:sz w:val="22"/>
                                  <w:szCs w:val="44"/>
                                </w:rPr>
                                <w:delText>排板</w:delText>
                              </w:r>
                            </w:del>
                            <w:ins w:id="14" w:author="NTKO" w:date="2023-09-08T15:34:45Z">
                              <w:r>
                                <w:rPr>
                                  <w:rFonts w:hint="eastAsia" w:ascii="黑体" w:hAnsi="黑体" w:eastAsia="黑体"/>
                                  <w:sz w:val="22"/>
                                  <w:szCs w:val="44"/>
                                  <w:lang w:eastAsia="zh-CN"/>
                                </w:rPr>
                                <w:t>排版</w:t>
                              </w:r>
                            </w:ins>
                            <w:r>
                              <w:rPr>
                                <w:rFonts w:hint="eastAsia" w:ascii="黑体" w:hAnsi="黑体" w:eastAsia="黑体"/>
                                <w:sz w:val="22"/>
                                <w:szCs w:val="44"/>
                              </w:rPr>
                              <w:t>可根据效果自定）</w:t>
                            </w:r>
                          </w:p>
                        </w:txbxContent>
                      </wps:txbx>
                      <wps:bodyPr vert="horz" wrap="square" lIns="91440" tIns="45720" rIns="91440" bIns="45720" anchor="t">
                        <a:spAutoFit/>
                      </wps:bodyPr>
                    </wps:wsp>
                  </a:graphicData>
                </a:graphic>
                <wp14:sizeRelH relativeFrom="page">
                  <wp14:pctWidth>0</wp14:pctWidth>
                </wp14:sizeRelH>
                <wp14:sizeRelV relativeFrom="margin">
                  <wp14:pctHeight>20000</wp14:pctHeight>
                </wp14:sizeRelV>
              </wp:anchor>
            </w:drawing>
          </mc:Choice>
          <mc:Fallback>
            <w:pict>
              <v:rect id="文本框 2" o:spid="_x0000_s1026" o:spt="1" style="position:absolute;left:0pt;margin-top:51.2pt;height:72.45pt;width:435.95pt;mso-position-horizontal:left;mso-position-horizontal-relative:margin;mso-wrap-distance-bottom:3.6pt;mso-wrap-distance-left:9pt;mso-wrap-distance-right:9pt;mso-wrap-distance-top:3.6pt;z-index:251659264;mso-width-relative:page;mso-height-relative:margin;mso-height-percent:200;" filled="f" stroked="f" coordsize="21600,21600" o:gfxdata="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lGS+7aAAAA&#10;CAEAAA8AAAAAAAAAAQAgAAAAIgAAAGRycy9kb3ducmV2LnhtbFBLAQIUABQAAAAIAIdO4kCB3eKS&#10;4gEAAL0DAAAOAAAAAAAAAAEAIAAAACkBAABkcnMvZTJvRG9jLnhtbFBLBQYAAAAABgAGAFkBAAB9&#10;BQAAAAA=&#10;">
                <v:fill on="f" focussize="0,0"/>
                <v:stroke on="f"/>
                <v:imagedata o:title=""/>
                <o:lock v:ext="edit" aspectratio="f"/>
                <v:textbox style="mso-fit-shape-to-text:t;">
                  <w:txbxContent>
                    <w:p>
                      <w:pPr>
                        <w:rPr>
                          <w:rFonts w:ascii="黑体" w:hAnsi="黑体" w:eastAsia="黑体"/>
                          <w:sz w:val="22"/>
                          <w:szCs w:val="44"/>
                        </w:rPr>
                      </w:pPr>
                      <w:r>
                        <w:rPr>
                          <w:rFonts w:hint="eastAsia" w:ascii="黑体" w:hAnsi="黑体" w:eastAsia="黑体"/>
                          <w:sz w:val="22"/>
                          <w:szCs w:val="44"/>
                        </w:rPr>
                        <w:t>（仅供参考，本模板目的为明确城乡建设项目历史文化遗产调查评估报告成果重点，具体内容、</w:t>
                      </w:r>
                      <w:del w:id="15" w:author="NTKO" w:date="2023-09-08T15:34:45Z">
                        <w:r>
                          <w:rPr>
                            <w:rFonts w:hint="eastAsia" w:ascii="黑体" w:hAnsi="黑体" w:eastAsia="黑体"/>
                            <w:sz w:val="22"/>
                            <w:szCs w:val="44"/>
                          </w:rPr>
                          <w:delText>排板</w:delText>
                        </w:r>
                      </w:del>
                      <w:ins w:id="16" w:author="NTKO" w:date="2023-09-08T15:34:45Z">
                        <w:r>
                          <w:rPr>
                            <w:rFonts w:hint="eastAsia" w:ascii="黑体" w:hAnsi="黑体" w:eastAsia="黑体"/>
                            <w:sz w:val="22"/>
                            <w:szCs w:val="44"/>
                            <w:lang w:eastAsia="zh-CN"/>
                          </w:rPr>
                          <w:t>排版</w:t>
                        </w:r>
                      </w:ins>
                      <w:r>
                        <w:rPr>
                          <w:rFonts w:hint="eastAsia" w:ascii="黑体" w:hAnsi="黑体" w:eastAsia="黑体"/>
                          <w:sz w:val="22"/>
                          <w:szCs w:val="44"/>
                        </w:rPr>
                        <w:t>可根据效果自定）</w:t>
                      </w:r>
                    </w:p>
                  </w:txbxContent>
                </v:textbox>
                <w10:wrap type="square"/>
              </v:rect>
            </w:pict>
          </mc:Fallback>
        </mc:AlternateContent>
      </w:r>
    </w:p>
    <w:p>
      <w:pPr>
        <w:ind w:firstLine="640"/>
        <w:rPr>
          <w:rFonts w:ascii="宋体" w:hAnsi="宋体"/>
        </w:rPr>
      </w:pPr>
      <w:r>
        <mc:AlternateContent>
          <mc:Choice Requires="wps">
            <w:drawing>
              <wp:anchor distT="45720" distB="45720" distL="114300" distR="114300" simplePos="0" relativeHeight="251658240" behindDoc="0" locked="0" layoutInCell="1" allowOverlap="1">
                <wp:simplePos x="0" y="0"/>
                <wp:positionH relativeFrom="column">
                  <wp:posOffset>1270635</wp:posOffset>
                </wp:positionH>
                <wp:positionV relativeFrom="paragraph">
                  <wp:posOffset>1143635</wp:posOffset>
                </wp:positionV>
                <wp:extent cx="3346450" cy="1334770"/>
                <wp:effectExtent l="0" t="0" r="0" b="0"/>
                <wp:wrapSquare wrapText="bothSides"/>
                <wp:docPr id="1027" name="文本框 2"/>
                <wp:cNvGraphicFramePr/>
                <a:graphic xmlns:a="http://schemas.openxmlformats.org/drawingml/2006/main">
                  <a:graphicData uri="http://schemas.microsoft.com/office/word/2010/wordprocessingShape">
                    <wps:wsp>
                      <wps:cNvSpPr/>
                      <wps:spPr>
                        <a:xfrm>
                          <a:off x="0" y="0"/>
                          <a:ext cx="3346450" cy="1404620"/>
                        </a:xfrm>
                        <a:prstGeom prst="rect">
                          <a:avLst/>
                        </a:prstGeom>
                        <a:noFill/>
                        <a:ln>
                          <a:noFill/>
                        </a:ln>
                        <a:effectLst/>
                      </wps:spPr>
                      <wps:txbx>
                        <w:txbxContent>
                          <w:p>
                            <w:pPr>
                              <w:ind w:firstLine="440"/>
                              <w:rPr>
                                <w:rFonts w:ascii="黑体" w:hAnsi="黑体" w:eastAsia="黑体"/>
                                <w:sz w:val="22"/>
                                <w:szCs w:val="44"/>
                              </w:rPr>
                            </w:pPr>
                            <w:r>
                              <w:rPr>
                                <w:rFonts w:hint="eastAsia" w:ascii="黑体" w:hAnsi="黑体" w:eastAsia="黑体"/>
                                <w:sz w:val="22"/>
                                <w:szCs w:val="44"/>
                              </w:rPr>
                              <w:t>组织编制单位：xx区人民政府</w:t>
                            </w:r>
                          </w:p>
                          <w:p>
                            <w:pPr>
                              <w:ind w:firstLine="440"/>
                              <w:rPr>
                                <w:rFonts w:ascii="黑体" w:hAnsi="黑体" w:eastAsia="黑体"/>
                                <w:sz w:val="22"/>
                                <w:szCs w:val="44"/>
                              </w:rPr>
                            </w:pPr>
                            <w:r>
                              <w:rPr>
                                <w:rFonts w:hint="eastAsia" w:ascii="黑体" w:hAnsi="黑体" w:eastAsia="黑体"/>
                                <w:sz w:val="22"/>
                                <w:szCs w:val="44"/>
                              </w:rPr>
                              <w:t>编制单位：xxx</w:t>
                            </w:r>
                          </w:p>
                          <w:p>
                            <w:pPr>
                              <w:ind w:firstLine="440"/>
                              <w:rPr>
                                <w:rFonts w:ascii="黑体" w:hAnsi="黑体" w:eastAsia="黑体"/>
                                <w:sz w:val="22"/>
                                <w:szCs w:val="44"/>
                              </w:rPr>
                            </w:pPr>
                            <w:r>
                              <w:rPr>
                                <w:rFonts w:hint="eastAsia" w:ascii="黑体" w:hAnsi="黑体" w:eastAsia="黑体"/>
                                <w:sz w:val="22"/>
                                <w:szCs w:val="44"/>
                              </w:rPr>
                              <w:t>日期：20xx年x月</w:t>
                            </w:r>
                          </w:p>
                        </w:txbxContent>
                      </wps:txbx>
                      <wps:bodyPr vert="horz" wrap="square" lIns="91440" tIns="45720" rIns="91440" bIns="45720" anchor="t">
                        <a:spAutoFit/>
                      </wps:bodyPr>
                    </wps:wsp>
                  </a:graphicData>
                </a:graphic>
                <wp14:sizeRelH relativeFrom="page">
                  <wp14:pctWidth>0</wp14:pctWidth>
                </wp14:sizeRelH>
                <wp14:sizeRelV relativeFrom="margin">
                  <wp14:pctHeight>20000</wp14:pctHeight>
                </wp14:sizeRelV>
              </wp:anchor>
            </w:drawing>
          </mc:Choice>
          <mc:Fallback>
            <w:pict>
              <v:rect id="文本框 2" o:spid="_x0000_s1026" o:spt="1" style="position:absolute;left:0pt;margin-left:100.05pt;margin-top:90.05pt;height:105.1pt;width:263.5pt;mso-wrap-distance-bottom:3.6pt;mso-wrap-distance-left:9pt;mso-wrap-distance-right:9pt;mso-wrap-distance-top:3.6pt;z-index:251658240;mso-width-relative:page;mso-height-relative:margin;mso-height-percent:200;" filled="f" stroked="f" coordsize="21600,21600" o:gfxdata="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N0YC2gAA&#10;AAsBAAAPAAAAAAAAAAEAIAAAACIAAABkcnMvZG93bnJldi54bWxQSwECFAAUAAAACACHTuJA5pqy&#10;geMBAAC9AwAADgAAAAAAAAABACAAAAApAQAAZHJzL2Uyb0RvYy54bWxQSwUGAAAAAAYABgBZAQAA&#10;fgUAAAAA&#10;">
                <v:fill on="f" focussize="0,0"/>
                <v:stroke on="f"/>
                <v:imagedata o:title=""/>
                <o:lock v:ext="edit" aspectratio="f"/>
                <v:textbox style="mso-fit-shape-to-text:t;">
                  <w:txbxContent>
                    <w:p>
                      <w:pPr>
                        <w:ind w:firstLine="440"/>
                        <w:rPr>
                          <w:rFonts w:ascii="黑体" w:hAnsi="黑体" w:eastAsia="黑体"/>
                          <w:sz w:val="22"/>
                          <w:szCs w:val="44"/>
                        </w:rPr>
                      </w:pPr>
                      <w:r>
                        <w:rPr>
                          <w:rFonts w:hint="eastAsia" w:ascii="黑体" w:hAnsi="黑体" w:eastAsia="黑体"/>
                          <w:sz w:val="22"/>
                          <w:szCs w:val="44"/>
                        </w:rPr>
                        <w:t>组织编制单位：xx区人民政府</w:t>
                      </w:r>
                    </w:p>
                    <w:p>
                      <w:pPr>
                        <w:ind w:firstLine="440"/>
                        <w:rPr>
                          <w:rFonts w:ascii="黑体" w:hAnsi="黑体" w:eastAsia="黑体"/>
                          <w:sz w:val="22"/>
                          <w:szCs w:val="44"/>
                        </w:rPr>
                      </w:pPr>
                      <w:r>
                        <w:rPr>
                          <w:rFonts w:hint="eastAsia" w:ascii="黑体" w:hAnsi="黑体" w:eastAsia="黑体"/>
                          <w:sz w:val="22"/>
                          <w:szCs w:val="44"/>
                        </w:rPr>
                        <w:t>编制单位：xxx</w:t>
                      </w:r>
                    </w:p>
                    <w:p>
                      <w:pPr>
                        <w:ind w:firstLine="440"/>
                        <w:rPr>
                          <w:rFonts w:ascii="黑体" w:hAnsi="黑体" w:eastAsia="黑体"/>
                          <w:sz w:val="22"/>
                          <w:szCs w:val="44"/>
                        </w:rPr>
                      </w:pPr>
                      <w:r>
                        <w:rPr>
                          <w:rFonts w:hint="eastAsia" w:ascii="黑体" w:hAnsi="黑体" w:eastAsia="黑体"/>
                          <w:sz w:val="22"/>
                          <w:szCs w:val="44"/>
                        </w:rPr>
                        <w:t>日期：20xx年x月</w:t>
                      </w:r>
                    </w:p>
                  </w:txbxContent>
                </v:textbox>
                <w10:wrap type="square"/>
              </v:rect>
            </w:pict>
          </mc:Fallback>
        </mc:AlternateContent>
      </w:r>
    </w:p>
    <w:p>
      <w:pPr>
        <w:rPr>
          <w:rFonts w:ascii="宋体" w:hAnsi="宋体"/>
        </w:rPr>
      </w:pPr>
      <w:r>
        <w:rPr>
          <w:rFonts w:ascii="宋体" w:hAnsi="宋体"/>
        </w:rPr>
        <w:br w:type="page"/>
      </w:r>
    </w:p>
    <w:p>
      <w:pPr>
        <w:ind w:firstLine="723"/>
        <w:jc w:val="center"/>
        <w:rPr>
          <w:rFonts w:ascii="宋体" w:hAnsi="宋体"/>
          <w:b/>
          <w:sz w:val="36"/>
        </w:rPr>
      </w:pPr>
      <w:bookmarkStart w:id="3" w:name="_Toc40373473"/>
      <w:bookmarkStart w:id="4" w:name="_Toc40294535"/>
      <w:bookmarkStart w:id="5" w:name="_Toc40293655"/>
      <w:bookmarkStart w:id="6" w:name="_Toc40382251"/>
      <w:r>
        <w:rPr>
          <w:rFonts w:ascii="宋体" w:hAnsi="宋体"/>
          <w:b/>
          <w:sz w:val="36"/>
        </w:rPr>
        <w:t>目录</w:t>
      </w:r>
      <w:bookmarkEnd w:id="3"/>
      <w:bookmarkEnd w:id="4"/>
      <w:bookmarkEnd w:id="5"/>
      <w:bookmarkEnd w:id="6"/>
    </w:p>
    <w:p>
      <w:pPr>
        <w:ind w:firstLine="723"/>
        <w:jc w:val="center"/>
        <w:rPr>
          <w:rFonts w:ascii="宋体" w:hAnsi="宋体"/>
          <w:b/>
          <w:sz w:val="36"/>
        </w:rPr>
      </w:pPr>
    </w:p>
    <w:p>
      <w:pPr>
        <w:ind w:firstLine="200" w:firstLineChars="71"/>
        <w:jc w:val="left"/>
        <w:rPr>
          <w:rFonts w:ascii="宋体" w:hAnsi="宋体"/>
          <w:b/>
          <w:bCs/>
          <w:kern w:val="44"/>
          <w:sz w:val="28"/>
          <w:szCs w:val="32"/>
        </w:rPr>
      </w:pPr>
      <w:r>
        <w:rPr>
          <w:rFonts w:ascii="宋体" w:hAnsi="宋体"/>
          <w:b/>
          <w:bCs/>
          <w:kern w:val="44"/>
          <w:sz w:val="28"/>
          <w:szCs w:val="32"/>
        </w:rPr>
        <w:t>1.</w:t>
      </w:r>
      <w:r>
        <w:rPr>
          <w:rFonts w:hint="eastAsia" w:ascii="宋体" w:hAnsi="宋体"/>
          <w:b/>
          <w:bCs/>
          <w:kern w:val="44"/>
          <w:sz w:val="28"/>
          <w:szCs w:val="32"/>
        </w:rPr>
        <w:t>项目概况</w:t>
      </w:r>
    </w:p>
    <w:p>
      <w:pPr>
        <w:ind w:firstLine="640"/>
        <w:jc w:val="left"/>
        <w:rPr>
          <w:rFonts w:ascii="宋体" w:hAnsi="宋体"/>
          <w:kern w:val="44"/>
          <w:szCs w:val="28"/>
        </w:rPr>
      </w:pPr>
      <w:r>
        <w:rPr>
          <w:rFonts w:ascii="宋体" w:hAnsi="宋体"/>
          <w:kern w:val="44"/>
          <w:szCs w:val="28"/>
        </w:rPr>
        <w:t>1.1</w:t>
      </w:r>
      <w:r>
        <w:rPr>
          <w:rFonts w:hint="eastAsia" w:ascii="宋体" w:hAnsi="宋体"/>
          <w:kern w:val="44"/>
          <w:szCs w:val="28"/>
        </w:rPr>
        <w:t>项目背景</w:t>
      </w:r>
    </w:p>
    <w:p>
      <w:pPr>
        <w:ind w:firstLine="640"/>
        <w:jc w:val="left"/>
        <w:rPr>
          <w:rFonts w:ascii="宋体" w:hAnsi="宋体"/>
          <w:kern w:val="44"/>
          <w:szCs w:val="28"/>
        </w:rPr>
      </w:pPr>
      <w:r>
        <w:rPr>
          <w:rFonts w:ascii="宋体" w:hAnsi="宋体"/>
          <w:kern w:val="44"/>
          <w:szCs w:val="28"/>
        </w:rPr>
        <w:t>1.2</w:t>
      </w:r>
      <w:r>
        <w:rPr>
          <w:rFonts w:hint="eastAsia" w:ascii="宋体" w:hAnsi="宋体"/>
          <w:kern w:val="44"/>
          <w:szCs w:val="28"/>
        </w:rPr>
        <w:t>评估范围</w:t>
      </w:r>
    </w:p>
    <w:p>
      <w:pPr>
        <w:ind w:firstLine="640"/>
        <w:jc w:val="left"/>
        <w:rPr>
          <w:rFonts w:ascii="宋体" w:hAnsi="宋体"/>
          <w:kern w:val="44"/>
          <w:szCs w:val="28"/>
        </w:rPr>
      </w:pPr>
      <w:r>
        <w:rPr>
          <w:rFonts w:ascii="宋体" w:hAnsi="宋体"/>
          <w:kern w:val="44"/>
          <w:szCs w:val="28"/>
        </w:rPr>
        <w:t>1.3</w:t>
      </w:r>
      <w:r>
        <w:rPr>
          <w:rFonts w:hint="eastAsia" w:ascii="宋体" w:hAnsi="宋体"/>
          <w:kern w:val="44"/>
          <w:szCs w:val="28"/>
        </w:rPr>
        <w:t>研究内容</w:t>
      </w:r>
    </w:p>
    <w:p>
      <w:pPr>
        <w:ind w:firstLine="640"/>
        <w:jc w:val="left"/>
        <w:rPr>
          <w:rFonts w:ascii="宋体" w:hAnsi="宋体"/>
          <w:kern w:val="44"/>
          <w:szCs w:val="28"/>
        </w:rPr>
      </w:pPr>
      <w:r>
        <w:rPr>
          <w:rFonts w:hint="eastAsia" w:ascii="宋体" w:hAnsi="宋体"/>
          <w:kern w:val="44"/>
          <w:szCs w:val="28"/>
        </w:rPr>
        <w:t>1</w:t>
      </w:r>
      <w:r>
        <w:rPr>
          <w:rFonts w:ascii="宋体" w:hAnsi="宋体"/>
          <w:kern w:val="44"/>
          <w:szCs w:val="28"/>
        </w:rPr>
        <w:t>.4</w:t>
      </w:r>
      <w:r>
        <w:rPr>
          <w:rFonts w:hint="eastAsia" w:ascii="宋体" w:hAnsi="宋体"/>
          <w:kern w:val="44"/>
          <w:szCs w:val="28"/>
        </w:rPr>
        <w:t>技术路线</w:t>
      </w:r>
    </w:p>
    <w:p>
      <w:pPr>
        <w:ind w:firstLine="640"/>
        <w:jc w:val="left"/>
        <w:rPr>
          <w:rFonts w:ascii="宋体" w:hAnsi="宋体"/>
          <w:kern w:val="44"/>
          <w:szCs w:val="28"/>
        </w:rPr>
      </w:pPr>
      <w:r>
        <w:rPr>
          <w:rFonts w:ascii="宋体" w:hAnsi="宋体"/>
          <w:kern w:val="44"/>
          <w:szCs w:val="28"/>
        </w:rPr>
        <w:t>1.5</w:t>
      </w:r>
      <w:r>
        <w:rPr>
          <w:rFonts w:hint="eastAsia" w:ascii="宋体" w:hAnsi="宋体"/>
          <w:kern w:val="44"/>
          <w:szCs w:val="28"/>
        </w:rPr>
        <w:t>研究依据</w:t>
      </w:r>
    </w:p>
    <w:p>
      <w:pPr>
        <w:ind w:firstLine="640"/>
        <w:jc w:val="left"/>
        <w:rPr>
          <w:rFonts w:ascii="宋体" w:hAnsi="宋体"/>
          <w:kern w:val="44"/>
          <w:szCs w:val="28"/>
        </w:rPr>
      </w:pPr>
      <w:r>
        <w:rPr>
          <w:rFonts w:ascii="宋体" w:hAnsi="宋体"/>
          <w:kern w:val="44"/>
          <w:szCs w:val="28"/>
        </w:rPr>
        <w:t>1.6</w:t>
      </w:r>
      <w:r>
        <w:rPr>
          <w:rFonts w:hint="eastAsia" w:ascii="宋体" w:hAnsi="宋体"/>
          <w:kern w:val="44"/>
          <w:szCs w:val="28"/>
        </w:rPr>
        <w:t>现状建设情况</w:t>
      </w:r>
    </w:p>
    <w:p>
      <w:pPr>
        <w:ind w:firstLine="200" w:firstLineChars="71"/>
        <w:jc w:val="left"/>
        <w:rPr>
          <w:rFonts w:ascii="宋体" w:hAnsi="宋体"/>
          <w:b/>
          <w:bCs/>
          <w:kern w:val="44"/>
          <w:sz w:val="28"/>
          <w:szCs w:val="32"/>
        </w:rPr>
      </w:pPr>
      <w:r>
        <w:rPr>
          <w:rFonts w:ascii="宋体" w:hAnsi="宋体"/>
          <w:b/>
          <w:bCs/>
          <w:kern w:val="44"/>
          <w:sz w:val="28"/>
          <w:szCs w:val="32"/>
        </w:rPr>
        <w:t>2.</w:t>
      </w:r>
      <w:r>
        <w:rPr>
          <w:rFonts w:hint="eastAsia" w:ascii="宋体" w:hAnsi="宋体"/>
          <w:b/>
          <w:bCs/>
          <w:kern w:val="44"/>
          <w:sz w:val="28"/>
          <w:szCs w:val="32"/>
        </w:rPr>
        <w:t>历史研究</w:t>
      </w:r>
    </w:p>
    <w:p>
      <w:pPr>
        <w:ind w:firstLine="640"/>
        <w:jc w:val="left"/>
        <w:rPr>
          <w:rFonts w:ascii="宋体" w:hAnsi="宋体"/>
          <w:kern w:val="44"/>
          <w:szCs w:val="28"/>
        </w:rPr>
      </w:pPr>
      <w:r>
        <w:rPr>
          <w:rFonts w:ascii="宋体" w:hAnsi="宋体"/>
          <w:kern w:val="44"/>
          <w:szCs w:val="28"/>
        </w:rPr>
        <w:t>2.1</w:t>
      </w:r>
      <w:r>
        <w:rPr>
          <w:rFonts w:hint="eastAsia" w:ascii="宋体" w:hAnsi="宋体"/>
          <w:kern w:val="44"/>
          <w:szCs w:val="28"/>
        </w:rPr>
        <w:t>历史沿革及脉络</w:t>
      </w:r>
    </w:p>
    <w:p>
      <w:pPr>
        <w:ind w:firstLine="640"/>
        <w:jc w:val="left"/>
        <w:rPr>
          <w:rFonts w:ascii="宋体" w:hAnsi="宋体"/>
          <w:kern w:val="44"/>
          <w:szCs w:val="28"/>
        </w:rPr>
      </w:pPr>
      <w:r>
        <w:rPr>
          <w:rFonts w:ascii="宋体" w:hAnsi="宋体"/>
          <w:kern w:val="44"/>
          <w:szCs w:val="28"/>
        </w:rPr>
        <w:t>2.2</w:t>
      </w:r>
      <w:r>
        <w:rPr>
          <w:rFonts w:hint="eastAsia" w:ascii="宋体" w:hAnsi="宋体"/>
          <w:kern w:val="44"/>
          <w:szCs w:val="28"/>
        </w:rPr>
        <w:t>空间形态演变研究</w:t>
      </w:r>
    </w:p>
    <w:p>
      <w:pPr>
        <w:ind w:firstLine="640"/>
        <w:jc w:val="left"/>
        <w:rPr>
          <w:rFonts w:ascii="宋体" w:hAnsi="宋体"/>
          <w:kern w:val="44"/>
          <w:szCs w:val="28"/>
        </w:rPr>
      </w:pPr>
      <w:r>
        <w:rPr>
          <w:rFonts w:ascii="宋体" w:hAnsi="宋体"/>
          <w:kern w:val="44"/>
          <w:szCs w:val="28"/>
        </w:rPr>
        <w:t>2.3</w:t>
      </w:r>
      <w:r>
        <w:rPr>
          <w:rFonts w:hint="eastAsia" w:ascii="宋体" w:hAnsi="宋体"/>
          <w:kern w:val="44"/>
          <w:szCs w:val="28"/>
        </w:rPr>
        <w:t>历史文化价值评价</w:t>
      </w:r>
    </w:p>
    <w:p>
      <w:pPr>
        <w:ind w:firstLine="200" w:firstLineChars="71"/>
        <w:jc w:val="left"/>
        <w:rPr>
          <w:rFonts w:ascii="宋体" w:hAnsi="宋体"/>
          <w:b/>
          <w:bCs/>
          <w:kern w:val="44"/>
          <w:sz w:val="28"/>
          <w:szCs w:val="32"/>
        </w:rPr>
      </w:pPr>
      <w:r>
        <w:rPr>
          <w:rFonts w:ascii="宋体" w:hAnsi="宋体"/>
          <w:b/>
          <w:bCs/>
          <w:kern w:val="44"/>
          <w:sz w:val="28"/>
          <w:szCs w:val="32"/>
        </w:rPr>
        <w:t>3.</w:t>
      </w:r>
      <w:r>
        <w:rPr>
          <w:rFonts w:hint="eastAsia" w:ascii="宋体" w:hAnsi="宋体"/>
          <w:b/>
          <w:bCs/>
          <w:kern w:val="44"/>
          <w:sz w:val="28"/>
          <w:szCs w:val="32"/>
        </w:rPr>
        <w:t>相关规划分析</w:t>
      </w:r>
    </w:p>
    <w:p>
      <w:pPr>
        <w:ind w:firstLine="640"/>
        <w:jc w:val="left"/>
        <w:rPr>
          <w:rFonts w:ascii="宋体" w:hAnsi="宋体"/>
          <w:kern w:val="44"/>
          <w:szCs w:val="28"/>
        </w:rPr>
      </w:pPr>
      <w:r>
        <w:rPr>
          <w:rFonts w:ascii="宋体" w:hAnsi="宋体"/>
          <w:kern w:val="44"/>
          <w:szCs w:val="28"/>
        </w:rPr>
        <w:t>3.1</w:t>
      </w:r>
      <w:r>
        <w:rPr>
          <w:rFonts w:hint="eastAsia" w:ascii="宋体" w:hAnsi="宋体"/>
          <w:kern w:val="44"/>
          <w:szCs w:val="28"/>
        </w:rPr>
        <w:t>历史文化名城/历史文化街区/历史风貌区（历史地段）/历史文化名镇名村/传统村落保护规划</w:t>
      </w:r>
    </w:p>
    <w:p>
      <w:pPr>
        <w:ind w:firstLine="640"/>
        <w:jc w:val="left"/>
        <w:rPr>
          <w:rFonts w:ascii="宋体" w:hAnsi="宋体"/>
          <w:kern w:val="44"/>
          <w:szCs w:val="28"/>
        </w:rPr>
      </w:pPr>
      <w:r>
        <w:rPr>
          <w:rFonts w:ascii="宋体" w:hAnsi="宋体"/>
          <w:kern w:val="44"/>
          <w:szCs w:val="28"/>
        </w:rPr>
        <w:t>3.2</w:t>
      </w:r>
      <w:r>
        <w:rPr>
          <w:rFonts w:hint="eastAsia" w:ascii="宋体" w:hAnsi="宋体"/>
          <w:kern w:val="44"/>
          <w:szCs w:val="28"/>
        </w:rPr>
        <w:t>不可移动文物、历史建筑等相关规划</w:t>
      </w:r>
    </w:p>
    <w:p>
      <w:pPr>
        <w:ind w:firstLine="640"/>
        <w:jc w:val="left"/>
        <w:rPr>
          <w:rFonts w:ascii="宋体" w:hAnsi="宋体"/>
          <w:kern w:val="44"/>
          <w:szCs w:val="28"/>
        </w:rPr>
      </w:pPr>
      <w:r>
        <w:rPr>
          <w:rFonts w:hint="eastAsia" w:ascii="宋体" w:hAnsi="宋体"/>
          <w:kern w:val="44"/>
          <w:szCs w:val="28"/>
        </w:rPr>
        <w:t>3</w:t>
      </w:r>
      <w:r>
        <w:rPr>
          <w:rFonts w:ascii="宋体" w:hAnsi="宋体"/>
          <w:kern w:val="44"/>
          <w:szCs w:val="28"/>
        </w:rPr>
        <w:t>.3规划方案影响评估</w:t>
      </w:r>
    </w:p>
    <w:p>
      <w:pPr>
        <w:ind w:firstLine="640"/>
        <w:jc w:val="left"/>
        <w:rPr>
          <w:rFonts w:ascii="宋体" w:hAnsi="宋体"/>
          <w:kern w:val="44"/>
          <w:szCs w:val="28"/>
        </w:rPr>
      </w:pPr>
      <w:r>
        <w:rPr>
          <w:rFonts w:ascii="宋体" w:hAnsi="宋体"/>
          <w:kern w:val="44"/>
          <w:szCs w:val="28"/>
        </w:rPr>
        <w:t>3.4</w:t>
      </w:r>
      <w:r>
        <w:rPr>
          <w:rFonts w:hint="eastAsia" w:ascii="宋体" w:hAnsi="宋体"/>
          <w:kern w:val="44"/>
          <w:szCs w:val="28"/>
        </w:rPr>
        <w:t>其他相关规划分析</w:t>
      </w:r>
    </w:p>
    <w:p>
      <w:pPr>
        <w:ind w:firstLine="640"/>
        <w:jc w:val="left"/>
        <w:rPr>
          <w:rFonts w:ascii="宋体" w:hAnsi="宋体"/>
          <w:kern w:val="44"/>
          <w:szCs w:val="28"/>
        </w:rPr>
      </w:pPr>
      <w:r>
        <w:rPr>
          <w:rFonts w:ascii="宋体" w:hAnsi="宋体"/>
          <w:kern w:val="44"/>
          <w:szCs w:val="28"/>
        </w:rPr>
        <w:t>3.5</w:t>
      </w:r>
      <w:r>
        <w:rPr>
          <w:rFonts w:hint="eastAsia" w:ascii="宋体" w:hAnsi="宋体"/>
          <w:kern w:val="44"/>
          <w:szCs w:val="28"/>
        </w:rPr>
        <w:t>小结</w:t>
      </w:r>
    </w:p>
    <w:p>
      <w:pPr>
        <w:ind w:firstLine="200" w:firstLineChars="71"/>
        <w:jc w:val="left"/>
        <w:rPr>
          <w:rFonts w:ascii="宋体" w:hAnsi="宋体"/>
          <w:b/>
          <w:bCs/>
          <w:kern w:val="44"/>
          <w:sz w:val="28"/>
          <w:szCs w:val="32"/>
        </w:rPr>
      </w:pPr>
      <w:r>
        <w:rPr>
          <w:rFonts w:ascii="宋体" w:hAnsi="宋体"/>
          <w:b/>
          <w:bCs/>
          <w:kern w:val="44"/>
          <w:sz w:val="28"/>
          <w:szCs w:val="32"/>
        </w:rPr>
        <w:t>4.</w:t>
      </w:r>
      <w:r>
        <w:rPr>
          <w:rFonts w:hint="eastAsia" w:ascii="宋体" w:hAnsi="宋体"/>
          <w:b/>
          <w:bCs/>
          <w:kern w:val="44"/>
          <w:sz w:val="28"/>
          <w:szCs w:val="32"/>
        </w:rPr>
        <w:t>历史文化遗产调查评估</w:t>
      </w:r>
    </w:p>
    <w:p>
      <w:pPr>
        <w:ind w:firstLine="640"/>
        <w:jc w:val="left"/>
        <w:rPr>
          <w:rFonts w:ascii="宋体" w:hAnsi="宋体"/>
          <w:kern w:val="44"/>
          <w:szCs w:val="28"/>
        </w:rPr>
      </w:pPr>
      <w:r>
        <w:rPr>
          <w:rFonts w:ascii="宋体" w:hAnsi="宋体"/>
          <w:kern w:val="44"/>
          <w:szCs w:val="28"/>
        </w:rPr>
        <w:t>4.1</w:t>
      </w:r>
      <w:r>
        <w:rPr>
          <w:rFonts w:hint="eastAsia" w:ascii="宋体" w:hAnsi="宋体"/>
          <w:kern w:val="44"/>
          <w:szCs w:val="28"/>
        </w:rPr>
        <w:t>历史文化资源总述</w:t>
      </w:r>
    </w:p>
    <w:p>
      <w:pPr>
        <w:ind w:firstLine="640"/>
        <w:jc w:val="left"/>
        <w:rPr>
          <w:rFonts w:ascii="宋体" w:hAnsi="宋体"/>
          <w:kern w:val="44"/>
          <w:szCs w:val="28"/>
        </w:rPr>
      </w:pPr>
      <w:r>
        <w:rPr>
          <w:rFonts w:ascii="宋体" w:hAnsi="宋体"/>
          <w:kern w:val="44"/>
          <w:szCs w:val="28"/>
        </w:rPr>
        <w:t>4.2</w:t>
      </w:r>
      <w:r>
        <w:rPr>
          <w:rFonts w:hint="eastAsia" w:ascii="宋体" w:hAnsi="宋体"/>
          <w:kern w:val="44"/>
          <w:szCs w:val="28"/>
        </w:rPr>
        <w:t>空间格局特色分析</w:t>
      </w:r>
    </w:p>
    <w:p>
      <w:pPr>
        <w:ind w:firstLine="640"/>
        <w:jc w:val="left"/>
        <w:rPr>
          <w:rFonts w:ascii="宋体" w:hAnsi="宋体"/>
          <w:kern w:val="44"/>
          <w:szCs w:val="28"/>
        </w:rPr>
      </w:pPr>
      <w:r>
        <w:rPr>
          <w:rFonts w:hint="eastAsia" w:ascii="宋体" w:hAnsi="宋体"/>
          <w:kern w:val="44"/>
          <w:szCs w:val="28"/>
        </w:rPr>
        <w:t>4</w:t>
      </w:r>
      <w:r>
        <w:rPr>
          <w:rFonts w:ascii="宋体" w:hAnsi="宋体"/>
          <w:kern w:val="44"/>
          <w:szCs w:val="28"/>
        </w:rPr>
        <w:t>.3</w:t>
      </w:r>
      <w:r>
        <w:rPr>
          <w:rFonts w:hint="eastAsia" w:ascii="宋体" w:hAnsi="宋体"/>
          <w:kern w:val="44"/>
          <w:szCs w:val="28"/>
        </w:rPr>
        <w:t>具备保护身份的建筑</w:t>
      </w:r>
    </w:p>
    <w:p>
      <w:pPr>
        <w:ind w:firstLine="640"/>
        <w:jc w:val="left"/>
        <w:rPr>
          <w:rFonts w:ascii="宋体" w:hAnsi="宋体"/>
          <w:kern w:val="44"/>
          <w:szCs w:val="28"/>
        </w:rPr>
      </w:pPr>
      <w:r>
        <w:rPr>
          <w:rFonts w:hint="eastAsia" w:ascii="宋体" w:hAnsi="宋体"/>
          <w:kern w:val="44"/>
          <w:szCs w:val="28"/>
        </w:rPr>
        <w:t>4</w:t>
      </w:r>
      <w:r>
        <w:rPr>
          <w:rFonts w:ascii="宋体" w:hAnsi="宋体"/>
          <w:kern w:val="44"/>
          <w:szCs w:val="28"/>
        </w:rPr>
        <w:t>.4</w:t>
      </w:r>
      <w:r>
        <w:rPr>
          <w:rFonts w:hint="eastAsia" w:ascii="宋体" w:hAnsi="宋体"/>
          <w:kern w:val="44"/>
          <w:szCs w:val="28"/>
        </w:rPr>
        <w:t>摸查发现的其他具备保护价值建筑</w:t>
      </w:r>
    </w:p>
    <w:p>
      <w:pPr>
        <w:ind w:firstLine="640"/>
        <w:jc w:val="left"/>
        <w:rPr>
          <w:rFonts w:ascii="宋体" w:hAnsi="宋体"/>
          <w:kern w:val="44"/>
          <w:szCs w:val="28"/>
        </w:rPr>
      </w:pPr>
      <w:r>
        <w:rPr>
          <w:rFonts w:hint="eastAsia" w:ascii="宋体" w:hAnsi="宋体"/>
          <w:kern w:val="44"/>
          <w:szCs w:val="28"/>
        </w:rPr>
        <w:t>4</w:t>
      </w:r>
      <w:r>
        <w:rPr>
          <w:rFonts w:ascii="宋体" w:hAnsi="宋体"/>
          <w:kern w:val="44"/>
          <w:szCs w:val="28"/>
        </w:rPr>
        <w:t>.5</w:t>
      </w:r>
      <w:r>
        <w:rPr>
          <w:rFonts w:hint="eastAsia" w:ascii="宋体" w:hAnsi="宋体"/>
          <w:kern w:val="44"/>
          <w:szCs w:val="28"/>
        </w:rPr>
        <w:t>传统街巷、骑楼街</w:t>
      </w:r>
    </w:p>
    <w:p>
      <w:pPr>
        <w:ind w:firstLine="640"/>
        <w:jc w:val="left"/>
        <w:rPr>
          <w:rFonts w:ascii="宋体" w:hAnsi="宋体"/>
          <w:kern w:val="44"/>
          <w:szCs w:val="28"/>
        </w:rPr>
      </w:pPr>
      <w:r>
        <w:rPr>
          <w:rFonts w:hint="eastAsia" w:ascii="宋体" w:hAnsi="宋体"/>
          <w:kern w:val="44"/>
          <w:szCs w:val="28"/>
        </w:rPr>
        <w:t>4</w:t>
      </w:r>
      <w:r>
        <w:rPr>
          <w:rFonts w:ascii="宋体" w:hAnsi="宋体"/>
          <w:kern w:val="44"/>
          <w:szCs w:val="28"/>
        </w:rPr>
        <w:t>.6</w:t>
      </w:r>
      <w:r>
        <w:rPr>
          <w:rFonts w:hint="eastAsia" w:ascii="宋体" w:hAnsi="宋体"/>
          <w:kern w:val="44"/>
          <w:szCs w:val="28"/>
        </w:rPr>
        <w:t>历史环境要素</w:t>
      </w:r>
    </w:p>
    <w:p>
      <w:pPr>
        <w:ind w:firstLine="640"/>
        <w:jc w:val="left"/>
        <w:rPr>
          <w:rFonts w:ascii="宋体" w:hAnsi="宋体"/>
          <w:kern w:val="44"/>
          <w:szCs w:val="28"/>
        </w:rPr>
      </w:pPr>
      <w:r>
        <w:rPr>
          <w:rFonts w:ascii="宋体" w:hAnsi="宋体"/>
          <w:kern w:val="44"/>
          <w:szCs w:val="28"/>
        </w:rPr>
        <w:t>4.7</w:t>
      </w:r>
      <w:r>
        <w:rPr>
          <w:rFonts w:hint="eastAsia" w:ascii="宋体" w:hAnsi="宋体"/>
          <w:kern w:val="44"/>
          <w:szCs w:val="28"/>
        </w:rPr>
        <w:t>非物质文化遗产</w:t>
      </w:r>
    </w:p>
    <w:p>
      <w:pPr>
        <w:ind w:firstLine="640"/>
        <w:jc w:val="left"/>
        <w:rPr>
          <w:rFonts w:ascii="宋体" w:hAnsi="宋体"/>
          <w:kern w:val="44"/>
          <w:szCs w:val="28"/>
        </w:rPr>
      </w:pPr>
      <w:r>
        <w:rPr>
          <w:rFonts w:ascii="宋体" w:hAnsi="宋体"/>
          <w:kern w:val="44"/>
          <w:szCs w:val="28"/>
        </w:rPr>
        <w:t>4.8</w:t>
      </w:r>
      <w:r>
        <w:rPr>
          <w:rFonts w:hint="eastAsia" w:ascii="宋体" w:hAnsi="宋体"/>
          <w:kern w:val="44"/>
          <w:szCs w:val="28"/>
        </w:rPr>
        <w:t>其他保护对象</w:t>
      </w:r>
    </w:p>
    <w:p>
      <w:pPr>
        <w:ind w:firstLine="200" w:firstLineChars="71"/>
        <w:jc w:val="left"/>
        <w:rPr>
          <w:rFonts w:ascii="宋体" w:hAnsi="宋体"/>
          <w:b/>
          <w:bCs/>
          <w:kern w:val="44"/>
          <w:sz w:val="28"/>
          <w:szCs w:val="32"/>
        </w:rPr>
      </w:pPr>
      <w:r>
        <w:rPr>
          <w:rFonts w:hint="eastAsia" w:ascii="宋体" w:hAnsi="宋体"/>
          <w:b/>
          <w:bCs/>
          <w:kern w:val="44"/>
          <w:sz w:val="28"/>
          <w:szCs w:val="32"/>
        </w:rPr>
        <w:t>5</w:t>
      </w:r>
      <w:r>
        <w:rPr>
          <w:rFonts w:ascii="宋体" w:hAnsi="宋体"/>
          <w:b/>
          <w:bCs/>
          <w:kern w:val="44"/>
          <w:sz w:val="28"/>
          <w:szCs w:val="32"/>
        </w:rPr>
        <w:t>.</w:t>
      </w:r>
      <w:r>
        <w:rPr>
          <w:rFonts w:hint="eastAsia" w:ascii="宋体" w:hAnsi="宋体"/>
          <w:b/>
          <w:bCs/>
          <w:kern w:val="44"/>
          <w:sz w:val="28"/>
          <w:szCs w:val="32"/>
        </w:rPr>
        <w:t>各级文化遗产保护要求</w:t>
      </w:r>
    </w:p>
    <w:p>
      <w:pPr>
        <w:ind w:firstLine="640"/>
        <w:jc w:val="left"/>
        <w:rPr>
          <w:rFonts w:ascii="宋体" w:hAnsi="宋体"/>
          <w:kern w:val="44"/>
          <w:szCs w:val="28"/>
        </w:rPr>
      </w:pPr>
      <w:r>
        <w:rPr>
          <w:rFonts w:hint="eastAsia" w:ascii="宋体" w:hAnsi="宋体"/>
          <w:kern w:val="44"/>
          <w:szCs w:val="28"/>
        </w:rPr>
        <w:t>5</w:t>
      </w:r>
      <w:r>
        <w:rPr>
          <w:rFonts w:ascii="宋体" w:hAnsi="宋体"/>
          <w:kern w:val="44"/>
          <w:szCs w:val="28"/>
        </w:rPr>
        <w:t>.1</w:t>
      </w:r>
      <w:r>
        <w:rPr>
          <w:rFonts w:hint="eastAsia" w:ascii="宋体" w:hAnsi="宋体"/>
          <w:kern w:val="44"/>
          <w:szCs w:val="28"/>
        </w:rPr>
        <w:t>片区保护要求</w:t>
      </w:r>
    </w:p>
    <w:p>
      <w:pPr>
        <w:ind w:firstLine="640"/>
        <w:jc w:val="left"/>
        <w:rPr>
          <w:rFonts w:ascii="宋体" w:hAnsi="宋体"/>
          <w:kern w:val="44"/>
          <w:szCs w:val="28"/>
        </w:rPr>
      </w:pPr>
      <w:r>
        <w:rPr>
          <w:rFonts w:ascii="宋体" w:hAnsi="宋体"/>
          <w:kern w:val="44"/>
          <w:szCs w:val="28"/>
        </w:rPr>
        <w:t>5.2</w:t>
      </w:r>
      <w:r>
        <w:rPr>
          <w:rFonts w:hint="eastAsia" w:ascii="宋体" w:hAnsi="宋体"/>
          <w:kern w:val="44"/>
          <w:szCs w:val="28"/>
        </w:rPr>
        <w:t>不可移动文物</w:t>
      </w:r>
    </w:p>
    <w:p>
      <w:pPr>
        <w:ind w:firstLine="640"/>
        <w:jc w:val="left"/>
        <w:rPr>
          <w:rFonts w:ascii="宋体" w:hAnsi="宋体"/>
          <w:kern w:val="44"/>
          <w:szCs w:val="28"/>
        </w:rPr>
      </w:pPr>
      <w:r>
        <w:rPr>
          <w:rFonts w:hint="eastAsia" w:ascii="宋体" w:hAnsi="宋体"/>
          <w:kern w:val="44"/>
          <w:szCs w:val="28"/>
        </w:rPr>
        <w:t>5</w:t>
      </w:r>
      <w:r>
        <w:rPr>
          <w:rFonts w:ascii="宋体" w:hAnsi="宋体"/>
          <w:kern w:val="44"/>
          <w:szCs w:val="28"/>
        </w:rPr>
        <w:t>.3</w:t>
      </w:r>
      <w:r>
        <w:rPr>
          <w:rFonts w:hint="eastAsia" w:ascii="宋体" w:hAnsi="宋体"/>
          <w:kern w:val="44"/>
          <w:szCs w:val="28"/>
        </w:rPr>
        <w:t>历史建筑</w:t>
      </w:r>
    </w:p>
    <w:p>
      <w:pPr>
        <w:ind w:firstLine="640"/>
        <w:jc w:val="left"/>
        <w:rPr>
          <w:rFonts w:ascii="宋体" w:hAnsi="宋体"/>
          <w:kern w:val="44"/>
          <w:szCs w:val="28"/>
        </w:rPr>
      </w:pPr>
      <w:r>
        <w:rPr>
          <w:rFonts w:hint="eastAsia" w:ascii="宋体" w:hAnsi="宋体"/>
          <w:kern w:val="44"/>
          <w:szCs w:val="28"/>
        </w:rPr>
        <w:t>5</w:t>
      </w:r>
      <w:r>
        <w:rPr>
          <w:rFonts w:ascii="宋体" w:hAnsi="宋体"/>
          <w:kern w:val="44"/>
          <w:szCs w:val="28"/>
        </w:rPr>
        <w:t>.4</w:t>
      </w:r>
      <w:r>
        <w:rPr>
          <w:rFonts w:hint="eastAsia" w:ascii="宋体" w:hAnsi="宋体"/>
          <w:kern w:val="44"/>
          <w:szCs w:val="28"/>
        </w:rPr>
        <w:t>传统风貌建筑及不可移动文化遗产线索</w:t>
      </w:r>
    </w:p>
    <w:p>
      <w:pPr>
        <w:ind w:firstLine="640"/>
        <w:jc w:val="left"/>
        <w:rPr>
          <w:rFonts w:ascii="宋体" w:hAnsi="宋体"/>
          <w:kern w:val="44"/>
          <w:szCs w:val="28"/>
        </w:rPr>
      </w:pPr>
      <w:r>
        <w:rPr>
          <w:rFonts w:hint="eastAsia" w:ascii="宋体" w:hAnsi="宋体"/>
          <w:kern w:val="44"/>
          <w:szCs w:val="28"/>
        </w:rPr>
        <w:t>5</w:t>
      </w:r>
      <w:r>
        <w:rPr>
          <w:rFonts w:ascii="宋体" w:hAnsi="宋体"/>
          <w:kern w:val="44"/>
          <w:szCs w:val="28"/>
        </w:rPr>
        <w:t>.5</w:t>
      </w:r>
      <w:r>
        <w:rPr>
          <w:rFonts w:hint="eastAsia" w:ascii="宋体" w:hAnsi="宋体"/>
          <w:kern w:val="44"/>
          <w:szCs w:val="28"/>
        </w:rPr>
        <w:t>摸查发现的其他具备保护价值建筑</w:t>
      </w:r>
    </w:p>
    <w:p>
      <w:pPr>
        <w:ind w:firstLine="640"/>
        <w:jc w:val="left"/>
        <w:rPr>
          <w:rFonts w:ascii="宋体" w:hAnsi="宋体"/>
          <w:kern w:val="44"/>
          <w:szCs w:val="28"/>
        </w:rPr>
      </w:pPr>
      <w:r>
        <w:rPr>
          <w:rFonts w:hint="eastAsia" w:ascii="宋体" w:hAnsi="宋体"/>
          <w:kern w:val="44"/>
          <w:szCs w:val="28"/>
        </w:rPr>
        <w:t>5</w:t>
      </w:r>
      <w:r>
        <w:rPr>
          <w:rFonts w:ascii="宋体" w:hAnsi="宋体"/>
          <w:kern w:val="44"/>
          <w:szCs w:val="28"/>
        </w:rPr>
        <w:t>.6</w:t>
      </w:r>
      <w:r>
        <w:rPr>
          <w:rFonts w:hint="eastAsia" w:ascii="宋体" w:hAnsi="宋体"/>
          <w:kern w:val="44"/>
          <w:szCs w:val="28"/>
        </w:rPr>
        <w:t>传统街巷、骑楼街</w:t>
      </w:r>
    </w:p>
    <w:p>
      <w:pPr>
        <w:ind w:firstLine="640"/>
        <w:jc w:val="left"/>
        <w:rPr>
          <w:rFonts w:ascii="宋体" w:hAnsi="宋体"/>
          <w:kern w:val="44"/>
          <w:szCs w:val="28"/>
        </w:rPr>
      </w:pPr>
      <w:r>
        <w:rPr>
          <w:rFonts w:hint="eastAsia" w:ascii="宋体" w:hAnsi="宋体"/>
          <w:kern w:val="44"/>
          <w:szCs w:val="28"/>
        </w:rPr>
        <w:t>5</w:t>
      </w:r>
      <w:r>
        <w:rPr>
          <w:rFonts w:ascii="宋体" w:hAnsi="宋体"/>
          <w:kern w:val="44"/>
          <w:szCs w:val="28"/>
        </w:rPr>
        <w:t>.7</w:t>
      </w:r>
      <w:r>
        <w:rPr>
          <w:rFonts w:hint="eastAsia" w:ascii="宋体" w:hAnsi="宋体"/>
          <w:kern w:val="44"/>
          <w:szCs w:val="28"/>
        </w:rPr>
        <w:t>历史环境要素</w:t>
      </w:r>
    </w:p>
    <w:p>
      <w:pPr>
        <w:ind w:firstLine="640"/>
        <w:jc w:val="left"/>
        <w:rPr>
          <w:rFonts w:ascii="宋体" w:hAnsi="宋体"/>
          <w:kern w:val="44"/>
          <w:szCs w:val="28"/>
        </w:rPr>
      </w:pPr>
      <w:r>
        <w:rPr>
          <w:rFonts w:hint="eastAsia" w:ascii="宋体" w:hAnsi="宋体"/>
          <w:kern w:val="44"/>
          <w:szCs w:val="28"/>
        </w:rPr>
        <w:t>5</w:t>
      </w:r>
      <w:r>
        <w:rPr>
          <w:rFonts w:ascii="宋体" w:hAnsi="宋体"/>
          <w:kern w:val="44"/>
          <w:szCs w:val="28"/>
        </w:rPr>
        <w:t>.8</w:t>
      </w:r>
      <w:r>
        <w:rPr>
          <w:rFonts w:hint="eastAsia" w:ascii="宋体" w:hAnsi="宋体"/>
          <w:kern w:val="44"/>
          <w:szCs w:val="28"/>
        </w:rPr>
        <w:t>非物质文化遗产</w:t>
      </w:r>
    </w:p>
    <w:p>
      <w:pPr>
        <w:ind w:firstLine="640"/>
        <w:jc w:val="left"/>
        <w:rPr>
          <w:rFonts w:ascii="宋体" w:hAnsi="宋体"/>
          <w:kern w:val="44"/>
          <w:szCs w:val="28"/>
        </w:rPr>
      </w:pPr>
      <w:r>
        <w:rPr>
          <w:rFonts w:hint="eastAsia" w:ascii="宋体" w:hAnsi="宋体"/>
          <w:kern w:val="44"/>
          <w:szCs w:val="28"/>
        </w:rPr>
        <w:t>5</w:t>
      </w:r>
      <w:r>
        <w:rPr>
          <w:rFonts w:ascii="宋体" w:hAnsi="宋体"/>
          <w:kern w:val="44"/>
          <w:szCs w:val="28"/>
        </w:rPr>
        <w:t>.9</w:t>
      </w:r>
      <w:r>
        <w:rPr>
          <w:rFonts w:hint="eastAsia" w:ascii="宋体" w:hAnsi="宋体"/>
          <w:kern w:val="44"/>
          <w:szCs w:val="28"/>
        </w:rPr>
        <w:t>其他保护对象</w:t>
      </w:r>
    </w:p>
    <w:p>
      <w:pPr>
        <w:ind w:firstLine="200" w:firstLineChars="71"/>
        <w:jc w:val="left"/>
        <w:rPr>
          <w:rFonts w:ascii="宋体" w:hAnsi="宋体"/>
          <w:b/>
          <w:bCs/>
          <w:kern w:val="44"/>
          <w:sz w:val="28"/>
          <w:szCs w:val="32"/>
        </w:rPr>
      </w:pPr>
      <w:r>
        <w:rPr>
          <w:rFonts w:ascii="宋体" w:hAnsi="宋体"/>
          <w:b/>
          <w:bCs/>
          <w:kern w:val="44"/>
          <w:sz w:val="28"/>
          <w:szCs w:val="32"/>
        </w:rPr>
        <w:t>6.</w:t>
      </w:r>
      <w:r>
        <w:rPr>
          <w:rFonts w:hint="eastAsia" w:ascii="宋体" w:hAnsi="宋体"/>
          <w:b/>
          <w:bCs/>
          <w:kern w:val="44"/>
          <w:sz w:val="28"/>
          <w:szCs w:val="32"/>
        </w:rPr>
        <w:t>结论与建议</w:t>
      </w:r>
    </w:p>
    <w:p>
      <w:pPr>
        <w:ind w:firstLine="640"/>
        <w:jc w:val="left"/>
        <w:rPr>
          <w:rFonts w:ascii="宋体" w:hAnsi="宋体"/>
          <w:kern w:val="44"/>
          <w:szCs w:val="28"/>
        </w:rPr>
      </w:pPr>
      <w:r>
        <w:rPr>
          <w:rFonts w:ascii="宋体" w:hAnsi="宋体"/>
          <w:kern w:val="44"/>
          <w:szCs w:val="28"/>
        </w:rPr>
        <w:t>6.1</w:t>
      </w:r>
      <w:r>
        <w:rPr>
          <w:rFonts w:hint="eastAsia" w:ascii="宋体" w:hAnsi="宋体"/>
          <w:kern w:val="44"/>
          <w:szCs w:val="28"/>
        </w:rPr>
        <w:t>结论</w:t>
      </w:r>
    </w:p>
    <w:p>
      <w:pPr>
        <w:ind w:firstLine="640"/>
        <w:jc w:val="left"/>
        <w:rPr>
          <w:rFonts w:ascii="宋体" w:hAnsi="宋体"/>
          <w:kern w:val="44"/>
          <w:szCs w:val="28"/>
        </w:rPr>
      </w:pPr>
      <w:r>
        <w:rPr>
          <w:rFonts w:ascii="宋体" w:hAnsi="宋体"/>
          <w:kern w:val="44"/>
          <w:szCs w:val="28"/>
        </w:rPr>
        <w:t>6.2</w:t>
      </w:r>
      <w:r>
        <w:rPr>
          <w:rFonts w:hint="eastAsia" w:ascii="宋体" w:hAnsi="宋体"/>
          <w:kern w:val="44"/>
          <w:szCs w:val="28"/>
        </w:rPr>
        <w:t>建议</w:t>
      </w:r>
    </w:p>
    <w:p>
      <w:pPr>
        <w:ind w:firstLine="562"/>
        <w:jc w:val="left"/>
        <w:rPr>
          <w:rFonts w:ascii="宋体" w:hAnsi="宋体"/>
          <w:b/>
          <w:bCs/>
          <w:kern w:val="44"/>
          <w:sz w:val="28"/>
          <w:szCs w:val="32"/>
        </w:rPr>
      </w:pPr>
    </w:p>
    <w:p>
      <w:pPr>
        <w:ind w:firstLine="200" w:firstLineChars="71"/>
        <w:jc w:val="left"/>
        <w:rPr>
          <w:rFonts w:hint="eastAsia" w:ascii="宋体" w:hAnsi="宋体"/>
          <w:b/>
          <w:bCs/>
          <w:kern w:val="44"/>
          <w:sz w:val="28"/>
          <w:szCs w:val="32"/>
        </w:rPr>
      </w:pPr>
    </w:p>
    <w:p>
      <w:pPr>
        <w:ind w:firstLine="200" w:firstLineChars="71"/>
        <w:jc w:val="left"/>
        <w:rPr>
          <w:rFonts w:ascii="宋体" w:hAnsi="宋体"/>
          <w:b/>
          <w:bCs/>
          <w:kern w:val="44"/>
          <w:sz w:val="28"/>
          <w:szCs w:val="32"/>
        </w:rPr>
      </w:pPr>
      <w:r>
        <w:rPr>
          <w:rFonts w:hint="eastAsia" w:ascii="宋体" w:hAnsi="宋体"/>
          <w:b/>
          <w:bCs/>
          <w:kern w:val="44"/>
          <w:sz w:val="28"/>
          <w:szCs w:val="32"/>
        </w:rPr>
        <w:t xml:space="preserve">附图 </w:t>
      </w:r>
    </w:p>
    <w:p>
      <w:pPr>
        <w:ind w:firstLine="640"/>
        <w:jc w:val="left"/>
        <w:rPr>
          <w:rFonts w:ascii="宋体" w:hAnsi="宋体"/>
          <w:kern w:val="44"/>
          <w:szCs w:val="28"/>
        </w:rPr>
      </w:pPr>
      <w:r>
        <w:rPr>
          <w:rFonts w:hint="eastAsia" w:ascii="宋体" w:hAnsi="宋体"/>
          <w:kern w:val="44"/>
          <w:szCs w:val="28"/>
        </w:rPr>
        <w:t>应包括但不限于以下内容：</w:t>
      </w:r>
    </w:p>
    <w:p>
      <w:pPr>
        <w:ind w:firstLine="640"/>
        <w:jc w:val="left"/>
        <w:rPr>
          <w:rFonts w:ascii="宋体" w:hAnsi="宋体"/>
          <w:kern w:val="44"/>
          <w:szCs w:val="28"/>
        </w:rPr>
      </w:pPr>
      <w:r>
        <w:rPr>
          <w:rFonts w:hint="eastAsia" w:ascii="宋体" w:hAnsi="宋体"/>
          <w:kern w:val="44"/>
          <w:szCs w:val="28"/>
        </w:rPr>
        <w:t>附图1</w:t>
      </w:r>
      <w:r>
        <w:rPr>
          <w:rFonts w:ascii="宋体" w:hAnsi="宋体"/>
          <w:kern w:val="44"/>
          <w:szCs w:val="28"/>
        </w:rPr>
        <w:t xml:space="preserve"> 项目区位及评估范围图</w:t>
      </w:r>
    </w:p>
    <w:p>
      <w:pPr>
        <w:ind w:firstLine="640"/>
        <w:jc w:val="left"/>
        <w:rPr>
          <w:rFonts w:ascii="宋体" w:hAnsi="宋体"/>
          <w:kern w:val="44"/>
          <w:szCs w:val="28"/>
        </w:rPr>
      </w:pPr>
      <w:r>
        <w:rPr>
          <w:rFonts w:hint="eastAsia" w:ascii="宋体" w:hAnsi="宋体"/>
          <w:kern w:val="44"/>
          <w:szCs w:val="28"/>
        </w:rPr>
        <w:t>附图2历史地图和历史照片（如有）</w:t>
      </w:r>
    </w:p>
    <w:p>
      <w:pPr>
        <w:ind w:firstLine="640"/>
        <w:jc w:val="left"/>
        <w:rPr>
          <w:rFonts w:ascii="宋体" w:hAnsi="宋体"/>
          <w:kern w:val="44"/>
          <w:szCs w:val="28"/>
        </w:rPr>
      </w:pPr>
      <w:r>
        <w:rPr>
          <w:rFonts w:hint="eastAsia" w:ascii="宋体" w:hAnsi="宋体"/>
          <w:kern w:val="44"/>
          <w:szCs w:val="28"/>
        </w:rPr>
        <w:t>附图3空间形态演变图</w:t>
      </w:r>
    </w:p>
    <w:p>
      <w:pPr>
        <w:ind w:firstLine="640"/>
        <w:jc w:val="left"/>
        <w:rPr>
          <w:rFonts w:ascii="宋体" w:hAnsi="宋体"/>
          <w:kern w:val="44"/>
          <w:szCs w:val="28"/>
        </w:rPr>
      </w:pPr>
      <w:r>
        <w:rPr>
          <w:rFonts w:hint="eastAsia" w:ascii="宋体" w:hAnsi="宋体"/>
          <w:kern w:val="44"/>
          <w:szCs w:val="28"/>
        </w:rPr>
        <w:t>附图4历史文化资源分布图</w:t>
      </w:r>
    </w:p>
    <w:p>
      <w:pPr>
        <w:ind w:firstLine="640"/>
        <w:jc w:val="left"/>
        <w:rPr>
          <w:rFonts w:ascii="宋体" w:hAnsi="宋体"/>
          <w:kern w:val="44"/>
          <w:szCs w:val="28"/>
        </w:rPr>
      </w:pPr>
      <w:r>
        <w:rPr>
          <w:rFonts w:hint="eastAsia" w:ascii="宋体" w:hAnsi="宋体"/>
          <w:kern w:val="44"/>
          <w:szCs w:val="28"/>
        </w:rPr>
        <w:t>附图5上层次规划保护范围叠合图（如有）</w:t>
      </w:r>
    </w:p>
    <w:p>
      <w:pPr>
        <w:ind w:firstLine="640"/>
        <w:jc w:val="left"/>
        <w:rPr>
          <w:rFonts w:ascii="宋体" w:hAnsi="宋体"/>
          <w:kern w:val="44"/>
          <w:szCs w:val="28"/>
        </w:rPr>
      </w:pPr>
      <w:r>
        <w:rPr>
          <w:rFonts w:hint="eastAsia" w:ascii="宋体" w:hAnsi="宋体"/>
          <w:kern w:val="44"/>
          <w:szCs w:val="28"/>
        </w:rPr>
        <w:t>附图</w:t>
      </w:r>
      <w:bookmarkStart w:id="7" w:name="_Hlk76637147"/>
      <w:r>
        <w:rPr>
          <w:rFonts w:ascii="宋体" w:hAnsi="宋体"/>
          <w:kern w:val="44"/>
          <w:szCs w:val="28"/>
        </w:rPr>
        <w:t>6</w:t>
      </w:r>
      <w:r>
        <w:rPr>
          <w:rFonts w:hint="eastAsia" w:ascii="宋体" w:hAnsi="宋体"/>
          <w:kern w:val="44"/>
          <w:szCs w:val="28"/>
        </w:rPr>
        <w:t>保护对象分图则</w:t>
      </w:r>
      <w:bookmarkEnd w:id="7"/>
      <w:r>
        <w:rPr>
          <w:rFonts w:hint="eastAsia" w:ascii="宋体" w:hAnsi="宋体"/>
          <w:kern w:val="44"/>
          <w:szCs w:val="28"/>
        </w:rPr>
        <w:t>。</w:t>
      </w:r>
    </w:p>
    <w:p>
      <w:pPr>
        <w:ind w:firstLine="640"/>
        <w:jc w:val="left"/>
        <w:rPr>
          <w:rFonts w:ascii="宋体" w:hAnsi="宋体"/>
          <w:kern w:val="44"/>
          <w:szCs w:val="28"/>
        </w:rPr>
      </w:pPr>
      <w:r>
        <w:rPr>
          <w:rFonts w:hint="eastAsia" w:ascii="宋体" w:hAnsi="宋体"/>
          <w:kern w:val="44"/>
          <w:szCs w:val="28"/>
        </w:rPr>
        <w:t>分图则应包括区位信息、名称、地址、年代、历史功能、层数、保护状况、现状功能、建筑价值等信息，并将附上多个角度可反映保护利用情况的现状照片。</w:t>
      </w:r>
    </w:p>
    <w:p>
      <w:pPr>
        <w:ind w:firstLine="643"/>
        <w:rPr>
          <w:b/>
          <w:bCs/>
          <w:szCs w:val="24"/>
        </w:rPr>
      </w:pPr>
      <w:r>
        <w:rPr>
          <w:b/>
          <w:bCs/>
          <w:szCs w:val="24"/>
        </w:rPr>
        <w:t>……</w:t>
      </w:r>
    </w:p>
    <w:p>
      <w:pPr>
        <w:ind w:firstLine="643"/>
        <w:rPr>
          <w:b/>
          <w:bCs/>
          <w:szCs w:val="24"/>
        </w:rPr>
      </w:pPr>
    </w:p>
    <w:p>
      <w:pPr>
        <w:ind w:firstLine="640"/>
      </w:pPr>
      <w:r>
        <w:rPr>
          <w:rFonts w:hint="eastAsia"/>
          <w:szCs w:val="24"/>
        </w:rPr>
        <w:t>注：成果内容和附图可根据评估范围内历史文化遗产分布情况进行调整。</w:t>
      </w:r>
    </w:p>
    <w:p>
      <w:pPr>
        <w:widowControl/>
        <w:spacing w:line="560" w:lineRule="exact"/>
        <w:jc w:val="left"/>
        <w:rPr>
          <w:bCs/>
          <w:szCs w:val="32"/>
        </w:rPr>
      </w:pPr>
    </w:p>
    <w:p>
      <w:pPr>
        <w:widowControl/>
        <w:spacing w:line="560" w:lineRule="exact"/>
        <w:jc w:val="left"/>
        <w:rPr>
          <w:bCs/>
          <w:szCs w:val="32"/>
        </w:rPr>
      </w:pPr>
    </w:p>
    <w:p>
      <w:pPr>
        <w:widowControl/>
        <w:spacing w:line="560" w:lineRule="exact"/>
        <w:jc w:val="left"/>
        <w:rPr>
          <w:bCs/>
          <w:szCs w:val="32"/>
        </w:rPr>
      </w:pPr>
    </w:p>
    <w:p>
      <w:pPr>
        <w:widowControl/>
        <w:spacing w:line="560" w:lineRule="exact"/>
        <w:jc w:val="left"/>
        <w:rPr>
          <w:bCs/>
          <w:szCs w:val="32"/>
        </w:rPr>
      </w:pPr>
    </w:p>
    <w:p>
      <w:pPr>
        <w:widowControl/>
        <w:spacing w:line="560" w:lineRule="exact"/>
        <w:jc w:val="left"/>
        <w:rPr>
          <w:bCs/>
          <w:szCs w:val="32"/>
        </w:rPr>
      </w:pPr>
    </w:p>
    <w:p>
      <w:pPr>
        <w:widowControl/>
        <w:spacing w:line="560" w:lineRule="exact"/>
        <w:jc w:val="left"/>
        <w:rPr>
          <w:bCs/>
          <w:szCs w:val="32"/>
        </w:rPr>
      </w:pPr>
    </w:p>
    <w:p>
      <w:pPr>
        <w:widowControl/>
        <w:spacing w:line="560" w:lineRule="exact"/>
        <w:jc w:val="left"/>
        <w:rPr>
          <w:bCs/>
          <w:szCs w:val="32"/>
        </w:rPr>
      </w:pPr>
    </w:p>
    <w:p>
      <w:pPr>
        <w:widowControl/>
        <w:spacing w:line="560" w:lineRule="exact"/>
        <w:jc w:val="left"/>
        <w:rPr>
          <w:bCs/>
          <w:szCs w:val="32"/>
        </w:rPr>
      </w:pPr>
    </w:p>
    <w:p>
      <w:pPr>
        <w:widowControl/>
        <w:spacing w:line="240" w:lineRule="auto"/>
        <w:ind w:firstLine="200" w:firstLineChars="71"/>
        <w:jc w:val="left"/>
        <w:rPr>
          <w:rFonts w:hint="eastAsia" w:ascii="宋体" w:hAnsi="宋体"/>
          <w:b/>
          <w:bCs/>
          <w:kern w:val="44"/>
          <w:sz w:val="28"/>
          <w:szCs w:val="32"/>
        </w:rPr>
      </w:pPr>
      <w:r>
        <w:rPr>
          <w:rFonts w:hint="eastAsia" w:ascii="宋体" w:hAnsi="宋体"/>
          <w:b/>
          <w:bCs/>
          <w:kern w:val="44"/>
          <w:sz w:val="28"/>
          <w:szCs w:val="32"/>
        </w:rPr>
        <w:t>附表</w:t>
      </w:r>
    </w:p>
    <w:p>
      <w:pPr>
        <w:jc w:val="center"/>
        <w:rPr>
          <w:rFonts w:ascii="仿宋_GB2312" w:hAnsi="仿宋_GB2312" w:cs="仿宋_GB2312"/>
          <w:szCs w:val="32"/>
        </w:rPr>
      </w:pPr>
      <w:r>
        <w:rPr>
          <w:rFonts w:hint="eastAsia" w:ascii="仿宋_GB2312" w:hAnsi="仿宋_GB2312" w:cs="仿宋_GB2312"/>
          <w:szCs w:val="32"/>
        </w:rPr>
        <w:t>历史文化遗产保护对象核查表</w:t>
      </w:r>
    </w:p>
    <w:tbl>
      <w:tblPr>
        <w:tblStyle w:val="10"/>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934"/>
        <w:gridCol w:w="1935"/>
        <w:gridCol w:w="1295"/>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9781" w:type="dxa"/>
            <w:gridSpan w:val="5"/>
            <w:shd w:val="clear" w:color="auto" w:fill="F2F2F2"/>
            <w:vAlign w:val="center"/>
          </w:tcPr>
          <w:p>
            <w:pPr>
              <w:pStyle w:val="8"/>
              <w:adjustRightInd w:val="0"/>
              <w:snapToGrid w:val="0"/>
              <w:spacing w:before="0" w:beforeAutospacing="0" w:after="0" w:afterAutospacing="0"/>
              <w:jc w:val="center"/>
              <w:rPr>
                <w:rFonts w:ascii="黑体" w:hAnsi="黑体" w:eastAsia="黑体" w:cs="Times New Roman"/>
                <w:kern w:val="2"/>
                <w:sz w:val="32"/>
                <w:szCs w:val="32"/>
              </w:rPr>
            </w:pPr>
            <w:r>
              <w:rPr>
                <w:rFonts w:hint="eastAsia" w:ascii="黑体" w:hAnsi="黑体" w:eastAsia="黑体" w:cs="Times New Roman"/>
                <w:kern w:val="2"/>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41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项目名称</w:t>
            </w:r>
          </w:p>
        </w:tc>
        <w:tc>
          <w:tcPr>
            <w:tcW w:w="193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highlight w:val="yellow"/>
              </w:rPr>
            </w:pPr>
          </w:p>
        </w:tc>
        <w:tc>
          <w:tcPr>
            <w:tcW w:w="3230" w:type="dxa"/>
            <w:gridSpan w:val="2"/>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编制单位</w:t>
            </w:r>
          </w:p>
        </w:tc>
        <w:tc>
          <w:tcPr>
            <w:tcW w:w="3203" w:type="dxa"/>
            <w:vMerge w:val="restart"/>
            <w:vAlign w:val="center"/>
          </w:tcPr>
          <w:p>
            <w:pPr>
              <w:pStyle w:val="8"/>
              <w:adjustRightInd w:val="0"/>
              <w:snapToGrid w:val="0"/>
              <w:rPr>
                <w:rFonts w:ascii="仿宋_GB2312" w:eastAsia="仿宋_GB2312" w:cs="Times New Roman"/>
                <w:sz w:val="28"/>
                <w:szCs w:val="28"/>
              </w:rPr>
            </w:pPr>
          </w:p>
          <w:p>
            <w:pPr>
              <w:pStyle w:val="8"/>
              <w:adjustRightInd w:val="0"/>
              <w:snapToGrid w:val="0"/>
              <w:rPr>
                <w:rFonts w:ascii="仿宋_GB2312" w:eastAsia="仿宋_GB2312" w:cs="Times New Roman"/>
                <w:sz w:val="28"/>
                <w:szCs w:val="28"/>
              </w:rPr>
            </w:pPr>
          </w:p>
          <w:p>
            <w:pPr>
              <w:tabs>
                <w:tab w:val="left" w:pos="2176"/>
              </w:tabs>
              <w:ind w:firstLine="280" w:firstLineChars="100"/>
              <w:jc w:val="left"/>
              <w:rPr>
                <w:rFonts w:ascii="仿宋_GB2312"/>
                <w:sz w:val="28"/>
                <w:szCs w:val="28"/>
              </w:rPr>
            </w:pPr>
            <w:r>
              <w:rPr>
                <w:rFonts w:hint="eastAsia" w:ascii="仿宋_GB2312"/>
                <w:sz w:val="28"/>
                <w:szCs w:val="28"/>
              </w:rPr>
              <w:t>（盖章）  年  月  日</w:t>
            </w:r>
          </w:p>
          <w:p>
            <w:pPr>
              <w:tabs>
                <w:tab w:val="left" w:pos="2176"/>
              </w:tabs>
              <w:ind w:firstLine="280" w:firstLineChars="100"/>
              <w:jc w:val="left"/>
              <w:rPr>
                <w:rFonts w:ascii="仿宋_GB2312"/>
                <w:sz w:val="28"/>
                <w:szCs w:val="28"/>
              </w:rPr>
            </w:pPr>
            <w:r>
              <w:rPr>
                <w:rFonts w:hint="eastAsia" w:ascii="仿宋_GB2312"/>
                <w:sz w:val="28"/>
                <w:szCs w:val="28"/>
              </w:rPr>
              <w:t>项目审核：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141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规划范围</w:t>
            </w:r>
          </w:p>
        </w:tc>
        <w:tc>
          <w:tcPr>
            <w:tcW w:w="193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p>
        </w:tc>
        <w:tc>
          <w:tcPr>
            <w:tcW w:w="3230" w:type="dxa"/>
            <w:gridSpan w:val="2"/>
            <w:vMerge w:val="continue"/>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highlight w:val="yellow"/>
              </w:rPr>
            </w:pPr>
          </w:p>
        </w:tc>
        <w:tc>
          <w:tcPr>
            <w:tcW w:w="3203" w:type="dxa"/>
            <w:vMerge w:val="continue"/>
            <w:vAlign w:val="center"/>
          </w:tcPr>
          <w:p>
            <w:pPr>
              <w:pStyle w:val="8"/>
              <w:adjustRightInd w:val="0"/>
              <w:snapToGrid w:val="0"/>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41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项目阶段</w:t>
            </w:r>
          </w:p>
        </w:tc>
        <w:tc>
          <w:tcPr>
            <w:tcW w:w="193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p>
        </w:tc>
        <w:tc>
          <w:tcPr>
            <w:tcW w:w="3230" w:type="dxa"/>
            <w:gridSpan w:val="2"/>
            <w:vMerge w:val="continue"/>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p>
        </w:tc>
        <w:tc>
          <w:tcPr>
            <w:tcW w:w="3203" w:type="dxa"/>
            <w:vMerge w:val="continue"/>
            <w:vAlign w:val="center"/>
          </w:tcPr>
          <w:p>
            <w:pPr>
              <w:pStyle w:val="8"/>
              <w:adjustRightInd w:val="0"/>
              <w:snapToGrid w:val="0"/>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141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规划组织单位</w:t>
            </w:r>
          </w:p>
        </w:tc>
        <w:tc>
          <w:tcPr>
            <w:tcW w:w="193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p>
        </w:tc>
        <w:tc>
          <w:tcPr>
            <w:tcW w:w="3230" w:type="dxa"/>
            <w:gridSpan w:val="2"/>
            <w:vMerge w:val="continue"/>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p>
        </w:tc>
        <w:tc>
          <w:tcPr>
            <w:tcW w:w="3203" w:type="dxa"/>
            <w:vMerge w:val="continue"/>
            <w:vAlign w:val="center"/>
          </w:tcPr>
          <w:p>
            <w:pPr>
              <w:pStyle w:val="8"/>
              <w:adjustRightInd w:val="0"/>
              <w:snapToGrid w:val="0"/>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9781" w:type="dxa"/>
            <w:gridSpan w:val="5"/>
            <w:shd w:val="clear" w:color="auto" w:fill="F2F2F2"/>
            <w:vAlign w:val="center"/>
          </w:tcPr>
          <w:p>
            <w:pPr>
              <w:pStyle w:val="8"/>
              <w:adjustRightInd w:val="0"/>
              <w:snapToGrid w:val="0"/>
              <w:spacing w:before="0" w:beforeAutospacing="0" w:after="0" w:afterAutospacing="0"/>
              <w:jc w:val="center"/>
              <w:rPr>
                <w:rFonts w:ascii="黑体" w:hAnsi="黑体" w:eastAsia="黑体" w:cs="Times New Roman"/>
                <w:kern w:val="2"/>
                <w:sz w:val="32"/>
                <w:szCs w:val="32"/>
              </w:rPr>
            </w:pPr>
            <w:r>
              <w:rPr>
                <w:rFonts w:hint="eastAsia" w:ascii="黑体" w:hAnsi="黑体" w:eastAsia="黑体" w:cs="Times New Roman"/>
                <w:kern w:val="2"/>
                <w:sz w:val="32"/>
                <w:szCs w:val="32"/>
              </w:rPr>
              <w:t>地块情况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4" w:type="dxa"/>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储备地块</w:t>
            </w:r>
          </w:p>
        </w:tc>
        <w:tc>
          <w:tcPr>
            <w:tcW w:w="1934" w:type="dxa"/>
            <w:vAlign w:val="center"/>
          </w:tcPr>
          <w:p>
            <w:pPr>
              <w:pStyle w:val="8"/>
              <w:adjustRightInd w:val="0"/>
              <w:snapToGrid w:val="0"/>
              <w:spacing w:before="0" w:beforeAutospacing="0" w:after="0" w:afterAutospacing="0"/>
              <w:jc w:val="both"/>
              <w:rPr>
                <w:rFonts w:ascii="黑体" w:hAnsi="黑体" w:eastAsia="黑体" w:cs="Times New Roman"/>
                <w:kern w:val="2"/>
                <w:sz w:val="32"/>
                <w:szCs w:val="32"/>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p>
            <w:pPr>
              <w:pStyle w:val="8"/>
              <w:adjustRightInd w:val="0"/>
              <w:snapToGrid w:val="0"/>
              <w:rPr>
                <w:rFonts w:ascii="仿宋_GB2312" w:eastAsia="仿宋_GB2312" w:cs="Times New Roman"/>
                <w:kern w:val="2"/>
                <w:sz w:val="28"/>
                <w:szCs w:val="28"/>
              </w:rPr>
            </w:pPr>
          </w:p>
          <w:p>
            <w:pPr>
              <w:pStyle w:val="8"/>
              <w:adjustRightInd w:val="0"/>
              <w:snapToGrid w:val="0"/>
              <w:rPr>
                <w:rFonts w:ascii="仿宋_GB2312" w:eastAsia="仿宋_GB2312" w:cs="Times New Roman"/>
                <w:kern w:val="2"/>
                <w:sz w:val="28"/>
                <w:szCs w:val="28"/>
              </w:rPr>
            </w:pPr>
          </w:p>
        </w:tc>
        <w:tc>
          <w:tcPr>
            <w:tcW w:w="6433" w:type="dxa"/>
            <w:gridSpan w:val="3"/>
            <w:vMerge w:val="restart"/>
            <w:vAlign w:val="center"/>
          </w:tcPr>
          <w:p>
            <w:pPr>
              <w:pStyle w:val="8"/>
              <w:adjustRightInd w:val="0"/>
              <w:snapToGrid w:val="0"/>
              <w:spacing w:before="0" w:beforeAutospacing="0" w:after="0" w:afterAutospacing="0"/>
              <w:rPr>
                <w:rFonts w:ascii="黑体" w:hAnsi="黑体" w:eastAsia="黑体" w:cs="Times New Roman"/>
                <w:kern w:val="2"/>
                <w:sz w:val="32"/>
                <w:szCs w:val="32"/>
              </w:rPr>
            </w:pPr>
            <w:r>
              <w:rPr>
                <w:rFonts w:hint="eastAsia" w:ascii="仿宋_GB2312" w:eastAsia="仿宋_GB2312" w:cs="Times New Roman"/>
                <w:kern w:val="2"/>
                <w:sz w:val="28"/>
                <w:szCs w:val="28"/>
              </w:rPr>
              <w:t>*（如涉及储备地块）填写数量、单位、名称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1414" w:type="dxa"/>
            <w:vMerge w:val="continue"/>
            <w:vAlign w:val="center"/>
          </w:tcPr>
          <w:p>
            <w:pPr>
              <w:pStyle w:val="8"/>
              <w:adjustRightInd w:val="0"/>
              <w:snapToGrid w:val="0"/>
              <w:spacing w:before="0" w:beforeAutospacing="0" w:after="0" w:afterAutospacing="0"/>
              <w:jc w:val="center"/>
              <w:rPr>
                <w:rFonts w:ascii="黑体" w:hAnsi="黑体" w:eastAsia="黑体" w:cs="Times New Roman"/>
                <w:kern w:val="2"/>
                <w:sz w:val="32"/>
                <w:szCs w:val="32"/>
              </w:rPr>
            </w:pPr>
          </w:p>
        </w:tc>
        <w:tc>
          <w:tcPr>
            <w:tcW w:w="1934" w:type="dxa"/>
          </w:tcPr>
          <w:p>
            <w:pPr>
              <w:pStyle w:val="8"/>
              <w:adjustRightInd w:val="0"/>
              <w:snapToGrid w:val="0"/>
              <w:spacing w:before="0" w:beforeAutospacing="0" w:after="0" w:afterAutospacing="0"/>
              <w:jc w:val="both"/>
              <w:rPr>
                <w:rFonts w:ascii="黑体" w:hAnsi="黑体" w:eastAsia="黑体" w:cs="Times New Roman"/>
                <w:kern w:val="2"/>
                <w:sz w:val="32"/>
                <w:szCs w:val="32"/>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tcPr>
          <w:p>
            <w:pPr>
              <w:pStyle w:val="8"/>
              <w:adjustRightInd w:val="0"/>
              <w:snapToGrid w:val="0"/>
              <w:spacing w:before="0" w:beforeAutospacing="0" w:after="0" w:afterAutospacing="0"/>
              <w:jc w:val="both"/>
              <w:rPr>
                <w:rFonts w:ascii="黑体" w:hAnsi="黑体" w:eastAsia="黑体"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414" w:type="dxa"/>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城市更新年度计划</w:t>
            </w:r>
          </w:p>
        </w:tc>
        <w:tc>
          <w:tcPr>
            <w:tcW w:w="1934" w:type="dxa"/>
            <w:vAlign w:val="center"/>
          </w:tcPr>
          <w:p>
            <w:pPr>
              <w:pStyle w:val="8"/>
              <w:adjustRightInd w:val="0"/>
              <w:snapToGrid w:val="0"/>
              <w:spacing w:before="0" w:beforeAutospacing="0" w:after="0" w:afterAutospacing="0"/>
              <w:jc w:val="both"/>
              <w:rPr>
                <w:rFonts w:ascii="黑体" w:hAnsi="黑体" w:eastAsia="黑体" w:cs="Times New Roman"/>
                <w:kern w:val="2"/>
                <w:sz w:val="32"/>
                <w:szCs w:val="32"/>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p>
            <w:pPr>
              <w:pStyle w:val="8"/>
              <w:adjustRightInd w:val="0"/>
              <w:snapToGrid w:val="0"/>
              <w:jc w:val="both"/>
              <w:rPr>
                <w:rFonts w:ascii="仿宋_GB2312" w:eastAsia="仿宋_GB2312" w:cs="Times New Roman"/>
                <w:kern w:val="2"/>
                <w:sz w:val="28"/>
                <w:szCs w:val="28"/>
              </w:rPr>
            </w:pPr>
          </w:p>
          <w:p>
            <w:pPr>
              <w:pStyle w:val="8"/>
              <w:adjustRightInd w:val="0"/>
              <w:snapToGrid w:val="0"/>
              <w:jc w:val="both"/>
              <w:rPr>
                <w:rFonts w:ascii="仿宋_GB2312" w:eastAsia="仿宋_GB2312" w:cs="Times New Roman"/>
                <w:kern w:val="2"/>
                <w:sz w:val="28"/>
                <w:szCs w:val="28"/>
              </w:rPr>
            </w:pPr>
          </w:p>
        </w:tc>
        <w:tc>
          <w:tcPr>
            <w:tcW w:w="6433" w:type="dxa"/>
            <w:gridSpan w:val="3"/>
            <w:vMerge w:val="restart"/>
            <w:vAlign w:val="center"/>
          </w:tcPr>
          <w:p>
            <w:pPr>
              <w:pStyle w:val="8"/>
              <w:adjustRightInd w:val="0"/>
              <w:snapToGrid w:val="0"/>
              <w:spacing w:before="0" w:beforeAutospacing="0" w:after="0" w:afterAutospacing="0"/>
              <w:jc w:val="both"/>
              <w:rPr>
                <w:rFonts w:ascii="黑体" w:hAnsi="黑体" w:eastAsia="黑体" w:cs="Times New Roman"/>
                <w:kern w:val="2"/>
                <w:sz w:val="32"/>
                <w:szCs w:val="32"/>
              </w:rPr>
            </w:pPr>
            <w:r>
              <w:rPr>
                <w:rFonts w:hint="eastAsia" w:ascii="仿宋_GB2312" w:eastAsia="仿宋_GB2312" w:cs="Times New Roman"/>
                <w:kern w:val="2"/>
                <w:sz w:val="28"/>
                <w:szCs w:val="28"/>
              </w:rPr>
              <w:t>*（如涉及更新计划）填写数量、实施单位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1414" w:type="dxa"/>
            <w:vMerge w:val="continue"/>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p>
        </w:tc>
        <w:tc>
          <w:tcPr>
            <w:tcW w:w="1934" w:type="dxa"/>
          </w:tcPr>
          <w:p>
            <w:pPr>
              <w:pStyle w:val="8"/>
              <w:adjustRightInd w:val="0"/>
              <w:snapToGrid w:val="0"/>
              <w:spacing w:before="0" w:beforeAutospacing="0" w:after="0" w:afterAutospacing="0"/>
              <w:jc w:val="both"/>
              <w:rPr>
                <w:rFonts w:ascii="黑体" w:hAnsi="黑体" w:eastAsia="黑体" w:cs="Times New Roman"/>
                <w:kern w:val="2"/>
                <w:sz w:val="32"/>
                <w:szCs w:val="32"/>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tcPr>
          <w:p>
            <w:pPr>
              <w:pStyle w:val="8"/>
              <w:adjustRightInd w:val="0"/>
              <w:snapToGrid w:val="0"/>
              <w:spacing w:before="0" w:beforeAutospacing="0" w:after="0" w:afterAutospacing="0"/>
              <w:jc w:val="both"/>
              <w:rPr>
                <w:rFonts w:ascii="黑体" w:hAnsi="黑体" w:eastAsia="黑体"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9781" w:type="dxa"/>
            <w:gridSpan w:val="5"/>
            <w:shd w:val="clear" w:color="auto" w:fill="F1F1F1"/>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黑体" w:hAnsi="黑体" w:eastAsia="黑体" w:cs="Times New Roman"/>
                <w:kern w:val="2"/>
                <w:sz w:val="32"/>
                <w:szCs w:val="32"/>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1414" w:type="dxa"/>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文物</w:t>
            </w:r>
          </w:p>
        </w:tc>
        <w:tc>
          <w:tcPr>
            <w:tcW w:w="1934" w:type="dxa"/>
            <w:vAlign w:val="center"/>
          </w:tcPr>
          <w:p>
            <w:pPr>
              <w:pStyle w:val="8"/>
              <w:adjustRightInd w:val="0"/>
              <w:snapToGrid w:val="0"/>
              <w:jc w:val="both"/>
              <w:rPr>
                <w:rFonts w:ascii="仿宋_GB2312" w:eastAsia="仿宋_GB2312" w:cs="Times New Roman"/>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jc w:val="both"/>
              <w:rPr>
                <w:rFonts w:ascii="仿宋_GB2312" w:eastAsia="仿宋_GB2312" w:cs="Times New Roman"/>
                <w:kern w:val="2"/>
                <w:sz w:val="28"/>
                <w:szCs w:val="28"/>
              </w:rPr>
            </w:pPr>
            <w:r>
              <w:rPr>
                <w:rFonts w:hint="eastAsia" w:ascii="仿宋_GB2312" w:eastAsia="仿宋_GB2312" w:cs="Times New Roman"/>
                <w:kern w:val="2"/>
                <w:sz w:val="28"/>
                <w:szCs w:val="28"/>
              </w:rPr>
              <w:t>*（如涉及文物本体、保护范围、建设控制地带）填写类别、数量、名称、涉及范围</w:t>
            </w:r>
          </w:p>
          <w:p>
            <w:pPr>
              <w:pStyle w:val="8"/>
              <w:adjustRightInd w:val="0"/>
              <w:snapToGrid w:val="0"/>
              <w:jc w:val="both"/>
              <w:rPr>
                <w:rFonts w:ascii="仿宋_GB2312" w:eastAsia="仿宋_GB2312" w:cs="Times New Roman"/>
                <w:sz w:val="28"/>
                <w:szCs w:val="28"/>
              </w:rPr>
            </w:pPr>
            <w:r>
              <w:rPr>
                <w:rFonts w:hint="eastAsia" w:ascii="仿宋_GB2312" w:eastAsia="仿宋_GB2312" w:cs="Times New Roman"/>
                <w:kern w:val="2"/>
                <w:sz w:val="28"/>
                <w:szCs w:val="28"/>
              </w:rPr>
              <w:t>*（如涉及海丝申遗史迹点遗产区以及缓冲区）填写名称、涉及范围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414" w:type="dxa"/>
            <w:vMerge w:val="continue"/>
            <w:vAlign w:val="center"/>
          </w:tcPr>
          <w:p>
            <w:pPr>
              <w:pStyle w:val="8"/>
              <w:adjustRightInd w:val="0"/>
              <w:snapToGrid w:val="0"/>
              <w:jc w:val="center"/>
              <w:rPr>
                <w:rFonts w:ascii="仿宋_GB2312" w:eastAsia="仿宋_GB2312" w:cs="Times New Roman"/>
                <w:kern w:val="2"/>
                <w:sz w:val="28"/>
                <w:szCs w:val="28"/>
              </w:rPr>
            </w:pPr>
          </w:p>
        </w:tc>
        <w:tc>
          <w:tcPr>
            <w:tcW w:w="1934" w:type="dxa"/>
            <w:vAlign w:val="center"/>
          </w:tcPr>
          <w:p>
            <w:pPr>
              <w:pStyle w:val="8"/>
              <w:adjustRightInd w:val="0"/>
              <w:snapToGrid w:val="0"/>
              <w:jc w:val="both"/>
              <w:rPr>
                <w:rFonts w:ascii="仿宋_GB2312" w:eastAsia="仿宋_GB2312" w:cs="Times New Roman"/>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tcPr>
          <w:p>
            <w:pPr>
              <w:pStyle w:val="8"/>
              <w:adjustRightInd w:val="0"/>
              <w:snapToGrid w:val="0"/>
              <w:jc w:val="both"/>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地下文物埋藏区</w:t>
            </w:r>
          </w:p>
        </w:tc>
        <w:tc>
          <w:tcPr>
            <w:tcW w:w="1934" w:type="dxa"/>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jc w:val="both"/>
              <w:rPr>
                <w:rFonts w:ascii="仿宋_GB2312" w:eastAsia="仿宋_GB2312" w:cs="Times New Roman"/>
                <w:sz w:val="28"/>
                <w:szCs w:val="28"/>
              </w:rPr>
            </w:pPr>
            <w:r>
              <w:rPr>
                <w:rFonts w:hint="eastAsia" w:ascii="仿宋_GB2312" w:eastAsia="仿宋_GB2312" w:cs="Times New Roman"/>
                <w:kern w:val="2"/>
                <w:sz w:val="28"/>
                <w:szCs w:val="28"/>
              </w:rPr>
              <w:t>*（如涉及地下文物埋藏区）填写数量、名称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14" w:type="dxa"/>
            <w:vMerge w:val="continue"/>
            <w:vAlign w:val="center"/>
          </w:tcPr>
          <w:p>
            <w:pPr>
              <w:pStyle w:val="8"/>
              <w:adjustRightInd w:val="0"/>
              <w:snapToGrid w:val="0"/>
              <w:jc w:val="center"/>
              <w:rPr>
                <w:rFonts w:cs="Times New Roman"/>
                <w:kern w:val="2"/>
                <w:sz w:val="28"/>
                <w:szCs w:val="28"/>
              </w:rPr>
            </w:pPr>
          </w:p>
        </w:tc>
        <w:tc>
          <w:tcPr>
            <w:tcW w:w="1934" w:type="dxa"/>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rPr>
                <w:rFonts w:asci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名木古树</w:t>
            </w:r>
          </w:p>
        </w:tc>
        <w:tc>
          <w:tcPr>
            <w:tcW w:w="1934" w:type="dxa"/>
            <w:vAlign w:val="center"/>
          </w:tcPr>
          <w:p>
            <w:pPr>
              <w:pStyle w:val="8"/>
              <w:adjustRightInd w:val="0"/>
              <w:snapToGrid w:val="0"/>
              <w:spacing w:before="0" w:beforeAutospacing="0" w:after="0" w:afterAutospacing="0"/>
              <w:jc w:val="both"/>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kern w:val="2"/>
                <w:sz w:val="28"/>
                <w:szCs w:val="28"/>
              </w:rPr>
              <w:t>*（如涉及名木古树）填写数量、编号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14" w:type="dxa"/>
            <w:vMerge w:val="continue"/>
            <w:vAlign w:val="center"/>
          </w:tcPr>
          <w:p>
            <w:pPr>
              <w:pStyle w:val="8"/>
              <w:adjustRightInd w:val="0"/>
              <w:snapToGrid w:val="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jc w:val="both"/>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jc w:val="both"/>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历史城区</w:t>
            </w:r>
          </w:p>
        </w:tc>
        <w:tc>
          <w:tcPr>
            <w:tcW w:w="3869" w:type="dxa"/>
            <w:gridSpan w:val="2"/>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4498" w:type="dxa"/>
            <w:gridSpan w:val="2"/>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历史文化名镇</w:t>
            </w:r>
          </w:p>
        </w:tc>
        <w:tc>
          <w:tcPr>
            <w:tcW w:w="1934" w:type="dxa"/>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kern w:val="2"/>
                <w:sz w:val="28"/>
                <w:szCs w:val="28"/>
              </w:rPr>
              <w:t>*（如涉及历史文化名镇核心保护范围、建设控制地带及环境协调区）填写涉及范围、涉及面积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14" w:type="dxa"/>
            <w:vMerge w:val="continue"/>
            <w:vAlign w:val="center"/>
          </w:tcPr>
          <w:p>
            <w:pPr>
              <w:pStyle w:val="8"/>
              <w:adjustRightInd w:val="0"/>
              <w:snapToGrid w:val="0"/>
              <w:spacing w:before="0" w:after="0"/>
              <w:jc w:val="center"/>
              <w:rPr>
                <w:rFonts w:ascii="仿宋_GB2312" w:eastAsia="仿宋_GB2312" w:cs="Times New Roman"/>
                <w:kern w:val="2"/>
                <w:sz w:val="28"/>
                <w:szCs w:val="28"/>
              </w:rPr>
            </w:pPr>
          </w:p>
        </w:tc>
        <w:tc>
          <w:tcPr>
            <w:tcW w:w="1934" w:type="dxa"/>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历史文化名村</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*（如涉及历史文化名村核心保护范围、建设控制地带及环境协调区）填写涉及范围、涉及面积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14" w:type="dxa"/>
            <w:vMerge w:val="continue"/>
            <w:vAlign w:val="center"/>
          </w:tcPr>
          <w:p>
            <w:pPr>
              <w:pStyle w:val="8"/>
              <w:adjustRightInd w:val="0"/>
              <w:snapToGrid w:val="0"/>
              <w:spacing w:before="0" w:beforeAutospacing="0" w:after="0" w:afterAutospacing="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传统村落</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*（如涉及传统村落待定区或传统村落核心保护范围、建设控制地带及环境协调区）填写涉及范围、涉及面积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14" w:type="dxa"/>
            <w:vMerge w:val="continue"/>
            <w:vAlign w:val="center"/>
          </w:tcPr>
          <w:p>
            <w:pPr>
              <w:pStyle w:val="8"/>
              <w:adjustRightInd w:val="0"/>
              <w:snapToGrid w:val="0"/>
              <w:spacing w:before="0" w:beforeAutospacing="0" w:after="0" w:afterAutospacing="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历史文化街区</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*（如涉及历史文化街区核心保护范围、建设控制地带及环境协调区）填写涉及范围、涉及面积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14" w:type="dxa"/>
            <w:vMerge w:val="continue"/>
            <w:vAlign w:val="center"/>
          </w:tcPr>
          <w:p>
            <w:pPr>
              <w:pStyle w:val="8"/>
              <w:adjustRightInd w:val="0"/>
              <w:snapToGrid w:val="0"/>
              <w:spacing w:before="0" w:beforeAutospacing="0" w:after="0" w:afterAutospacing="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历史风貌区</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*（如涉及历史风貌区核心保护范围、建设控制地带及环境协调区）填写涉及范围、涉及面积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14" w:type="dxa"/>
            <w:vMerge w:val="continue"/>
            <w:vAlign w:val="center"/>
          </w:tcPr>
          <w:p>
            <w:pPr>
              <w:pStyle w:val="8"/>
              <w:adjustRightInd w:val="0"/>
              <w:snapToGrid w:val="0"/>
              <w:spacing w:before="0" w:beforeAutospacing="0" w:after="0" w:afterAutospacing="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历史建筑</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*（如涉及历史建筑本体、保护范围、建设控制地带）填写名称、涉及范围、涉及面积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14" w:type="dxa"/>
            <w:vMerge w:val="continue"/>
            <w:vAlign w:val="center"/>
          </w:tcPr>
          <w:p>
            <w:pPr>
              <w:pStyle w:val="8"/>
              <w:adjustRightInd w:val="0"/>
              <w:snapToGrid w:val="0"/>
              <w:spacing w:before="0" w:beforeAutospacing="0" w:after="0" w:afterAutospacing="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传统街巷</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*（如涉及传统街巷）填写名称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14" w:type="dxa"/>
            <w:vMerge w:val="continue"/>
            <w:vAlign w:val="center"/>
          </w:tcPr>
          <w:p>
            <w:pPr>
              <w:pStyle w:val="8"/>
              <w:adjustRightInd w:val="0"/>
              <w:snapToGrid w:val="0"/>
              <w:spacing w:before="0" w:beforeAutospacing="0" w:after="0" w:afterAutospacing="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骑楼街</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*（如涉及骑楼街保护范围）填写涉及位置、涉及面积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14" w:type="dxa"/>
            <w:vMerge w:val="continue"/>
            <w:vAlign w:val="center"/>
          </w:tcPr>
          <w:p>
            <w:pPr>
              <w:pStyle w:val="8"/>
              <w:adjustRightInd w:val="0"/>
              <w:snapToGrid w:val="0"/>
              <w:spacing w:before="0" w:beforeAutospacing="0" w:after="0" w:afterAutospacing="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传统风貌建筑</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*（如涉及传统风貌建筑本体）填写名称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14" w:type="dxa"/>
            <w:vMerge w:val="continue"/>
            <w:vAlign w:val="center"/>
          </w:tcPr>
          <w:p>
            <w:pPr>
              <w:pStyle w:val="8"/>
              <w:adjustRightInd w:val="0"/>
              <w:snapToGrid w:val="0"/>
              <w:spacing w:before="0" w:beforeAutospacing="0" w:after="0" w:afterAutospacing="0"/>
              <w:jc w:val="center"/>
              <w:rPr>
                <w:rFonts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预保护对象</w:t>
            </w: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kern w:val="2"/>
                <w:sz w:val="28"/>
                <w:szCs w:val="28"/>
              </w:rPr>
              <w:t>*（如涉及预保护对象）填写名称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4" w:type="dxa"/>
            <w:vMerge w:val="continue"/>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p>
        </w:tc>
        <w:tc>
          <w:tcPr>
            <w:tcW w:w="1934" w:type="dxa"/>
            <w:vAlign w:val="center"/>
          </w:tcPr>
          <w:p>
            <w:pPr>
              <w:pStyle w:val="8"/>
              <w:adjustRightInd w:val="0"/>
              <w:snapToGrid w:val="0"/>
              <w:spacing w:before="0" w:beforeAutospacing="0" w:after="0" w:afterAutospacing="0"/>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vAlign w:val="center"/>
          </w:tcPr>
          <w:p>
            <w:pPr>
              <w:pStyle w:val="8"/>
              <w:adjustRightInd w:val="0"/>
              <w:snapToGrid w:val="0"/>
              <w:spacing w:before="0" w:beforeAutospacing="0" w:after="0" w:afterAutospacing="0"/>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cs="Times New Roman"/>
                <w:kern w:val="2"/>
                <w:sz w:val="28"/>
                <w:szCs w:val="28"/>
              </w:rPr>
            </w:pPr>
            <w:r>
              <w:rPr>
                <w:rFonts w:hint="eastAsia" w:ascii="仿宋_GB2312" w:eastAsia="仿宋_GB2312" w:cs="Times New Roman"/>
                <w:kern w:val="2"/>
                <w:sz w:val="28"/>
                <w:szCs w:val="28"/>
              </w:rPr>
              <w:t>工业遗产</w:t>
            </w:r>
          </w:p>
        </w:tc>
        <w:tc>
          <w:tcPr>
            <w:tcW w:w="1934" w:type="dxa"/>
          </w:tcPr>
          <w:p>
            <w:pPr>
              <w:pStyle w:val="8"/>
              <w:adjustRightInd w:val="0"/>
              <w:snapToGrid w:val="0"/>
              <w:spacing w:before="0" w:beforeAutospacing="0" w:after="0" w:afterAutospacing="0"/>
              <w:jc w:val="both"/>
              <w:rPr>
                <w:rFonts w:ascii="仿宋_GB2312" w:eastAsia="仿宋_GB2312" w:cs="Times New Roman"/>
                <w:kern w:val="2"/>
                <w:sz w:val="28"/>
                <w:szCs w:val="28"/>
              </w:rPr>
            </w:pPr>
            <w:r>
              <w:rPr>
                <w:rFonts w:hint="eastAsia" w:ascii="仿宋_GB2312" w:eastAsia="仿宋_GB2312" w:cs="Times New Roman"/>
                <w:sz w:val="28"/>
                <w:szCs w:val="28"/>
              </w:rPr>
              <w:t xml:space="preserve">不涉及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rPr>
                <w:rFonts w:ascii="仿宋_GB2312" w:eastAsia="仿宋_GB2312" w:cs="Times New Roman"/>
                <w:kern w:val="2"/>
                <w:sz w:val="28"/>
                <w:szCs w:val="28"/>
              </w:rPr>
            </w:pPr>
            <w:r>
              <w:rPr>
                <w:rFonts w:hint="eastAsia" w:ascii="仿宋_GB2312" w:eastAsia="仿宋_GB2312" w:cs="Times New Roman"/>
                <w:kern w:val="2"/>
                <w:sz w:val="28"/>
                <w:szCs w:val="28"/>
              </w:rPr>
              <w:t>*（如涉及工业遗产本体线）填写名称、涉及面积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414" w:type="dxa"/>
            <w:vMerge w:val="continue"/>
          </w:tcPr>
          <w:p>
            <w:pPr>
              <w:pStyle w:val="8"/>
              <w:adjustRightInd w:val="0"/>
              <w:snapToGrid w:val="0"/>
              <w:spacing w:before="0" w:beforeAutospacing="0" w:after="0" w:afterAutospacing="0"/>
              <w:jc w:val="both"/>
              <w:rPr>
                <w:rFonts w:ascii="仿宋_GB2312" w:eastAsia="仿宋_GB2312" w:cs="Times New Roman"/>
                <w:kern w:val="2"/>
                <w:sz w:val="28"/>
                <w:szCs w:val="28"/>
              </w:rPr>
            </w:pPr>
          </w:p>
        </w:tc>
        <w:tc>
          <w:tcPr>
            <w:tcW w:w="1934" w:type="dxa"/>
          </w:tcPr>
          <w:p>
            <w:pPr>
              <w:pStyle w:val="8"/>
              <w:adjustRightInd w:val="0"/>
              <w:snapToGrid w:val="0"/>
              <w:spacing w:before="0" w:beforeAutospacing="0" w:after="0" w:afterAutospacing="0"/>
              <w:jc w:val="both"/>
              <w:rPr>
                <w:rFonts w:ascii="仿宋_GB2312" w:eastAsia="仿宋_GB2312" w:cs="Times New Roman"/>
                <w:kern w:val="2"/>
                <w:sz w:val="28"/>
                <w:szCs w:val="28"/>
              </w:rPr>
            </w:pPr>
            <w:r>
              <w:rPr>
                <w:rFonts w:hint="eastAsia" w:ascii="仿宋_GB2312" w:eastAsia="仿宋_GB2312" w:cs="Times New Roman"/>
                <w:sz w:val="28"/>
                <w:szCs w:val="28"/>
              </w:rPr>
              <w:t xml:space="preserve">涉及 </w:t>
            </w:r>
            <w:r>
              <w:rPr>
                <w:rFonts w:hint="eastAsia" w:ascii="仿宋_GB2312" w:eastAsia="仿宋_GB2312" w:cs="Times New Roman"/>
                <w:kern w:val="2"/>
                <w:sz w:val="36"/>
                <w:szCs w:val="28"/>
              </w:rPr>
              <w:t>□</w:t>
            </w:r>
          </w:p>
        </w:tc>
        <w:tc>
          <w:tcPr>
            <w:tcW w:w="6433" w:type="dxa"/>
            <w:gridSpan w:val="3"/>
            <w:vMerge w:val="continue"/>
          </w:tcPr>
          <w:p>
            <w:pPr>
              <w:pStyle w:val="8"/>
              <w:adjustRightInd w:val="0"/>
              <w:snapToGrid w:val="0"/>
              <w:spacing w:before="0" w:beforeAutospacing="0" w:after="0" w:afterAutospacing="0"/>
              <w:jc w:val="both"/>
              <w:rPr>
                <w:rFonts w:ascii="仿宋_GB2312"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其他保护对象</w:t>
            </w:r>
          </w:p>
        </w:tc>
        <w:tc>
          <w:tcPr>
            <w:tcW w:w="1934" w:type="dxa"/>
          </w:tcPr>
          <w:p>
            <w:pPr>
              <w:pStyle w:val="8"/>
              <w:adjustRightInd w:val="0"/>
              <w:snapToGrid w:val="0"/>
              <w:spacing w:before="0" w:beforeAutospacing="0" w:after="0" w:afterAutospacing="0"/>
              <w:jc w:val="both"/>
              <w:rPr>
                <w:rFonts w:ascii="仿宋_GB2312" w:eastAsia="仿宋_GB2312" w:cs="Times New Roman"/>
                <w:kern w:val="2"/>
                <w:sz w:val="28"/>
                <w:szCs w:val="28"/>
              </w:rPr>
            </w:pPr>
            <w:r>
              <w:rPr>
                <w:rFonts w:hint="eastAsia" w:ascii="仿宋_GB2312" w:eastAsia="仿宋_GB2312" w:cs="Times New Roman"/>
                <w:sz w:val="28"/>
                <w:szCs w:val="28"/>
              </w:rPr>
              <w:t xml:space="preserve">没有   </w:t>
            </w:r>
            <w:r>
              <w:rPr>
                <w:rFonts w:hint="eastAsia" w:ascii="仿宋_GB2312" w:eastAsia="仿宋_GB2312" w:cs="Times New Roman"/>
                <w:kern w:val="2"/>
                <w:sz w:val="36"/>
                <w:szCs w:val="28"/>
              </w:rPr>
              <w:t>□</w:t>
            </w:r>
          </w:p>
        </w:tc>
        <w:tc>
          <w:tcPr>
            <w:tcW w:w="6433" w:type="dxa"/>
            <w:gridSpan w:val="3"/>
            <w:vMerge w:val="restart"/>
            <w:vAlign w:val="center"/>
          </w:tcPr>
          <w:p>
            <w:pPr>
              <w:pStyle w:val="8"/>
              <w:adjustRightInd w:val="0"/>
              <w:snapToGrid w:val="0"/>
              <w:spacing w:before="0" w:beforeAutospacing="0" w:after="0" w:afterAutospacing="0"/>
              <w:jc w:val="center"/>
              <w:rPr>
                <w:rFonts w:ascii="仿宋_GB2312" w:eastAsia="仿宋_GB2312" w:cs="Times New Roman"/>
                <w:kern w:val="2"/>
                <w:sz w:val="28"/>
                <w:szCs w:val="28"/>
              </w:rPr>
            </w:pPr>
            <w:r>
              <w:rPr>
                <w:rFonts w:hint="eastAsia" w:ascii="仿宋_GB2312" w:eastAsia="仿宋_GB2312" w:cs="Times New Roman"/>
                <w:kern w:val="2"/>
                <w:sz w:val="28"/>
                <w:szCs w:val="28"/>
              </w:rPr>
              <w:t>* 组织现场调查评估，如有其他具有保护价值的建筑物、构筑物、建筑群、村、镇）填写名称和地址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vMerge w:val="continue"/>
          </w:tcPr>
          <w:p>
            <w:pPr>
              <w:pStyle w:val="8"/>
              <w:adjustRightInd w:val="0"/>
              <w:snapToGrid w:val="0"/>
              <w:spacing w:before="0" w:beforeAutospacing="0" w:after="0" w:afterAutospacing="0"/>
              <w:jc w:val="both"/>
              <w:rPr>
                <w:rFonts w:ascii="仿宋_GB2312" w:eastAsia="仿宋_GB2312" w:cs="Times New Roman"/>
                <w:kern w:val="2"/>
                <w:sz w:val="28"/>
                <w:szCs w:val="28"/>
              </w:rPr>
            </w:pPr>
          </w:p>
        </w:tc>
        <w:tc>
          <w:tcPr>
            <w:tcW w:w="1934" w:type="dxa"/>
          </w:tcPr>
          <w:p>
            <w:pPr>
              <w:pStyle w:val="8"/>
              <w:adjustRightInd w:val="0"/>
              <w:snapToGrid w:val="0"/>
              <w:spacing w:before="0" w:beforeAutospacing="0" w:after="0" w:afterAutospacing="0"/>
              <w:jc w:val="both"/>
              <w:rPr>
                <w:rFonts w:ascii="仿宋_GB2312" w:eastAsia="仿宋_GB2312" w:cs="Times New Roman"/>
                <w:kern w:val="2"/>
                <w:sz w:val="28"/>
                <w:szCs w:val="28"/>
              </w:rPr>
            </w:pPr>
            <w:r>
              <w:rPr>
                <w:rFonts w:hint="eastAsia" w:ascii="仿宋_GB2312" w:eastAsia="仿宋_GB2312" w:cs="Times New Roman"/>
                <w:sz w:val="28"/>
                <w:szCs w:val="28"/>
              </w:rPr>
              <w:t xml:space="preserve">有 </w:t>
            </w:r>
            <w:r>
              <w:rPr>
                <w:rFonts w:hint="eastAsia" w:ascii="仿宋_GB2312" w:eastAsia="仿宋_GB2312" w:cs="Times New Roman"/>
                <w:kern w:val="2"/>
                <w:sz w:val="36"/>
                <w:szCs w:val="28"/>
              </w:rPr>
              <w:t>□</w:t>
            </w:r>
          </w:p>
        </w:tc>
        <w:tc>
          <w:tcPr>
            <w:tcW w:w="6433" w:type="dxa"/>
            <w:gridSpan w:val="3"/>
            <w:vMerge w:val="continue"/>
          </w:tcPr>
          <w:p>
            <w:pPr>
              <w:pStyle w:val="8"/>
              <w:adjustRightInd w:val="0"/>
              <w:snapToGrid w:val="0"/>
              <w:spacing w:before="0" w:beforeAutospacing="0" w:after="0" w:afterAutospacing="0"/>
              <w:jc w:val="both"/>
              <w:rPr>
                <w:rFonts w:ascii="仿宋_GB2312" w:eastAsia="仿宋_GB2312" w:cs="Times New Roman"/>
                <w:kern w:val="2"/>
                <w:sz w:val="28"/>
                <w:szCs w:val="28"/>
              </w:rPr>
            </w:pPr>
          </w:p>
        </w:tc>
      </w:tr>
    </w:tbl>
    <w:p>
      <w:pPr>
        <w:rPr>
          <w:sz w:val="28"/>
          <w:szCs w:val="28"/>
        </w:rPr>
      </w:pPr>
      <w:r>
        <w:rPr>
          <w:rFonts w:hint="eastAsia"/>
          <w:sz w:val="28"/>
          <w:szCs w:val="28"/>
        </w:rPr>
        <w:t>注：表格行距可根据内容调整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7A"/>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del w:id="0" w:author="NTKO" w:date="2022-08-05T13:33:33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del>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志炫">
    <w15:presenceInfo w15:providerId="None" w15:userId="周志炫"/>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revisionView w:markup="0"/>
  <w:trackRevisions w:val="1"/>
  <w:documentProtection w:edit="trackedChanges"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76991"/>
    <w:rsid w:val="00021FF5"/>
    <w:rsid w:val="002B1550"/>
    <w:rsid w:val="002D0EDD"/>
    <w:rsid w:val="002F5EC0"/>
    <w:rsid w:val="003B4BAE"/>
    <w:rsid w:val="003C71CF"/>
    <w:rsid w:val="004D45A6"/>
    <w:rsid w:val="004E0508"/>
    <w:rsid w:val="00521DFF"/>
    <w:rsid w:val="005532F2"/>
    <w:rsid w:val="00683324"/>
    <w:rsid w:val="006B3530"/>
    <w:rsid w:val="007A6479"/>
    <w:rsid w:val="007E4FE3"/>
    <w:rsid w:val="008A484D"/>
    <w:rsid w:val="008F7F51"/>
    <w:rsid w:val="00934B9C"/>
    <w:rsid w:val="00A32665"/>
    <w:rsid w:val="00A330F5"/>
    <w:rsid w:val="00A4753A"/>
    <w:rsid w:val="00A730B7"/>
    <w:rsid w:val="00AB526D"/>
    <w:rsid w:val="00B308A5"/>
    <w:rsid w:val="00B612BD"/>
    <w:rsid w:val="00CA61B2"/>
    <w:rsid w:val="00CC5668"/>
    <w:rsid w:val="00D172B5"/>
    <w:rsid w:val="00D25BA5"/>
    <w:rsid w:val="00F15FC8"/>
    <w:rsid w:val="00F46F9B"/>
    <w:rsid w:val="00F55A6F"/>
    <w:rsid w:val="01B86705"/>
    <w:rsid w:val="032D3D4C"/>
    <w:rsid w:val="06A07170"/>
    <w:rsid w:val="078155B0"/>
    <w:rsid w:val="0826044C"/>
    <w:rsid w:val="092B209C"/>
    <w:rsid w:val="09311F26"/>
    <w:rsid w:val="0A950480"/>
    <w:rsid w:val="0BCB5033"/>
    <w:rsid w:val="0BCC209B"/>
    <w:rsid w:val="0CAD4CC1"/>
    <w:rsid w:val="0DCE54F8"/>
    <w:rsid w:val="12625D7C"/>
    <w:rsid w:val="14C324FF"/>
    <w:rsid w:val="14C7589B"/>
    <w:rsid w:val="168F7B2C"/>
    <w:rsid w:val="17004A7E"/>
    <w:rsid w:val="176D56F7"/>
    <w:rsid w:val="17F4093F"/>
    <w:rsid w:val="180857B9"/>
    <w:rsid w:val="18F9479F"/>
    <w:rsid w:val="1ADB74D5"/>
    <w:rsid w:val="1B7E2126"/>
    <w:rsid w:val="1BCD08EB"/>
    <w:rsid w:val="1D281465"/>
    <w:rsid w:val="1D8849DD"/>
    <w:rsid w:val="1E3A0260"/>
    <w:rsid w:val="1EC17A6F"/>
    <w:rsid w:val="1FF64B4E"/>
    <w:rsid w:val="21EE1CB8"/>
    <w:rsid w:val="22046543"/>
    <w:rsid w:val="22984701"/>
    <w:rsid w:val="233E7B2B"/>
    <w:rsid w:val="24FB32F3"/>
    <w:rsid w:val="26433227"/>
    <w:rsid w:val="26B56CAF"/>
    <w:rsid w:val="28597B9C"/>
    <w:rsid w:val="28C80E67"/>
    <w:rsid w:val="2A4B7797"/>
    <w:rsid w:val="2B542F1F"/>
    <w:rsid w:val="2D1252FE"/>
    <w:rsid w:val="2DA26592"/>
    <w:rsid w:val="306B7E9F"/>
    <w:rsid w:val="33CF2525"/>
    <w:rsid w:val="37281FB7"/>
    <w:rsid w:val="37BE00BC"/>
    <w:rsid w:val="38261877"/>
    <w:rsid w:val="38572800"/>
    <w:rsid w:val="399C32A1"/>
    <w:rsid w:val="39A77F9F"/>
    <w:rsid w:val="3D9042FC"/>
    <w:rsid w:val="3E3D7C60"/>
    <w:rsid w:val="3FCE4B54"/>
    <w:rsid w:val="3FE47129"/>
    <w:rsid w:val="41E3612D"/>
    <w:rsid w:val="43154B57"/>
    <w:rsid w:val="43CB3686"/>
    <w:rsid w:val="44266C6B"/>
    <w:rsid w:val="463D7D85"/>
    <w:rsid w:val="47BF322B"/>
    <w:rsid w:val="49D82750"/>
    <w:rsid w:val="49F67B03"/>
    <w:rsid w:val="4B5D1EB7"/>
    <w:rsid w:val="4CD064CA"/>
    <w:rsid w:val="4F092FF7"/>
    <w:rsid w:val="503F537E"/>
    <w:rsid w:val="514F45B3"/>
    <w:rsid w:val="51E66FB2"/>
    <w:rsid w:val="53D66ECD"/>
    <w:rsid w:val="55233567"/>
    <w:rsid w:val="556770B5"/>
    <w:rsid w:val="5B037522"/>
    <w:rsid w:val="5C2E7CDE"/>
    <w:rsid w:val="5D630A44"/>
    <w:rsid w:val="5DF63AEA"/>
    <w:rsid w:val="5F976991"/>
    <w:rsid w:val="616E5CD7"/>
    <w:rsid w:val="61C854CE"/>
    <w:rsid w:val="62CE380F"/>
    <w:rsid w:val="63B0307C"/>
    <w:rsid w:val="653D23D1"/>
    <w:rsid w:val="6618198A"/>
    <w:rsid w:val="68062059"/>
    <w:rsid w:val="69304B9D"/>
    <w:rsid w:val="69435EA3"/>
    <w:rsid w:val="6B733234"/>
    <w:rsid w:val="725972D6"/>
    <w:rsid w:val="74020824"/>
    <w:rsid w:val="7407139C"/>
    <w:rsid w:val="749C4C74"/>
    <w:rsid w:val="74EC6A52"/>
    <w:rsid w:val="750311E8"/>
    <w:rsid w:val="75EE7D93"/>
    <w:rsid w:val="75FB3C88"/>
    <w:rsid w:val="7870192D"/>
    <w:rsid w:val="78CD32D6"/>
    <w:rsid w:val="7A370DF1"/>
    <w:rsid w:val="7AAB1E32"/>
    <w:rsid w:val="7AE67F3A"/>
    <w:rsid w:val="7BB93F96"/>
    <w:rsid w:val="7D903D41"/>
    <w:rsid w:val="7DB248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line="600" w:lineRule="exact"/>
      <w:jc w:val="center"/>
      <w:outlineLvl w:val="0"/>
    </w:pPr>
    <w:rPr>
      <w:rFonts w:ascii="等线" w:hAnsi="等线" w:eastAsia="方正小标宋简体"/>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unhideWhenUsed/>
    <w:qFormat/>
    <w:uiPriority w:val="39"/>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styleId="9">
    <w:name w:val="annotation subject"/>
    <w:basedOn w:val="3"/>
    <w:next w:val="3"/>
    <w:link w:val="14"/>
    <w:qFormat/>
    <w:uiPriority w:val="0"/>
    <w:rPr>
      <w:b/>
      <w:bCs/>
    </w:rPr>
  </w:style>
  <w:style w:type="character" w:styleId="12">
    <w:name w:val="annotation reference"/>
    <w:basedOn w:val="11"/>
    <w:qFormat/>
    <w:uiPriority w:val="0"/>
    <w:rPr>
      <w:sz w:val="21"/>
      <w:szCs w:val="21"/>
    </w:rPr>
  </w:style>
  <w:style w:type="character" w:customStyle="1" w:styleId="13">
    <w:name w:val="批注文字 Char"/>
    <w:basedOn w:val="11"/>
    <w:link w:val="3"/>
    <w:qFormat/>
    <w:uiPriority w:val="0"/>
    <w:rPr>
      <w:rFonts w:eastAsia="仿宋_GB2312"/>
      <w:kern w:val="2"/>
      <w:sz w:val="32"/>
    </w:rPr>
  </w:style>
  <w:style w:type="character" w:customStyle="1" w:styleId="14">
    <w:name w:val="批注主题 Char"/>
    <w:basedOn w:val="13"/>
    <w:link w:val="9"/>
    <w:qFormat/>
    <w:uiPriority w:val="0"/>
    <w:rPr>
      <w:b/>
      <w:bCs/>
    </w:rPr>
  </w:style>
  <w:style w:type="character" w:customStyle="1" w:styleId="15">
    <w:name w:val="批注框文本 Char"/>
    <w:basedOn w:val="11"/>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858</Words>
  <Characters>4893</Characters>
  <Lines>40</Lines>
  <Paragraphs>11</Paragraphs>
  <TotalTime>2</TotalTime>
  <ScaleCrop>false</ScaleCrop>
  <LinksUpToDate>false</LinksUpToDate>
  <CharactersWithSpaces>5740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2020-09-22T02:43:00Z</dcterms:created>
  <dc:creator>周志炫</dc:creator>
  <cp:lastModifiedBy>NTKO</cp:lastModifiedBy>
  <cp:lastPrinted>2022-03-10T08:16:00Z</cp:lastPrinted>
  <dcterms:modified xsi:type="dcterms:W3CDTF">2023-09-08T07:35:25Z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8E62716EC5A34FD29E69E58B6AF94650</vt:lpwstr>
  </property>
</Properties>
</file>