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both"/>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附件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p>
    <w:p>
      <w:pPr>
        <w:spacing w:line="600" w:lineRule="exact"/>
        <w:jc w:val="center"/>
        <w:rPr>
          <w:rFonts w:hint="default" w:ascii="Times New Roman" w:hAnsi="Times New Roman" w:eastAsia="方正小标宋简体" w:cs="Times New Roman"/>
          <w:color w:val="000000" w:themeColor="text1"/>
          <w:sz w:val="44"/>
          <w:szCs w:val="44"/>
          <w:lang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lang w:eastAsia="zh-CN"/>
          <w14:textFill>
            <w14:solidFill>
              <w14:schemeClr w14:val="tx1"/>
            </w14:solidFill>
          </w14:textFill>
        </w:rPr>
        <w:t>广州市规划和自然资源</w:t>
      </w:r>
      <w:r>
        <w:rPr>
          <w:rFonts w:hint="eastAsia" w:eastAsia="方正小标宋简体" w:cs="Times New Roman"/>
          <w:color w:val="000000" w:themeColor="text1"/>
          <w:sz w:val="44"/>
          <w:szCs w:val="44"/>
          <w:lang w:eastAsia="zh-CN"/>
          <w14:textFill>
            <w14:solidFill>
              <w14:schemeClr w14:val="tx1"/>
            </w14:solidFill>
          </w14:textFill>
        </w:rPr>
        <w:t>领域</w:t>
      </w:r>
      <w:r>
        <w:rPr>
          <w:rFonts w:hint="default" w:ascii="Times New Roman" w:hAnsi="Times New Roman" w:eastAsia="方正小标宋简体" w:cs="Times New Roman"/>
          <w:color w:val="000000" w:themeColor="text1"/>
          <w:sz w:val="44"/>
          <w:szCs w:val="44"/>
          <w:lang w:eastAsia="zh-CN"/>
          <w14:textFill>
            <w14:solidFill>
              <w14:schemeClr w14:val="tx1"/>
            </w14:solidFill>
          </w14:textFill>
        </w:rPr>
        <w:t>市场轻微违法经营行为免处罚清单</w:t>
      </w:r>
    </w:p>
    <w:p>
      <w:pPr>
        <w:pStyle w:val="2"/>
        <w:rPr>
          <w:rFonts w:hint="default"/>
          <w:sz w:val="28"/>
          <w:szCs w:val="28"/>
          <w:lang w:eastAsia="zh-CN"/>
        </w:rPr>
      </w:pPr>
      <w:r>
        <w:rPr>
          <w:rFonts w:hint="eastAsia" w:ascii="楷体" w:hAnsi="楷体" w:eastAsia="楷体" w:cs="楷体"/>
          <w:sz w:val="32"/>
          <w:lang w:val="en-US" w:eastAsia="zh-CN"/>
        </w:rPr>
        <w:t>（表格版）</w:t>
      </w:r>
      <w:r>
        <w:rPr>
          <w:rFonts w:hint="eastAsia" w:ascii="黑体" w:hAnsi="黑体" w:eastAsia="黑体" w:cs="黑体"/>
          <w:sz w:val="32"/>
        </w:rPr>
        <mc:AlternateContent>
          <mc:Choice Requires="wps">
            <w:drawing>
              <wp:anchor distT="0" distB="0" distL="114300" distR="114300" simplePos="0" relativeHeight="251658240" behindDoc="0" locked="0" layoutInCell="1" allowOverlap="1">
                <wp:simplePos x="0" y="0"/>
                <wp:positionH relativeFrom="column">
                  <wp:posOffset>-65405</wp:posOffset>
                </wp:positionH>
                <wp:positionV relativeFrom="paragraph">
                  <wp:posOffset>393700</wp:posOffset>
                </wp:positionV>
                <wp:extent cx="935990" cy="1032510"/>
                <wp:effectExtent l="3810" t="3175" r="12700" b="12065"/>
                <wp:wrapNone/>
                <wp:docPr id="2" name="直接连接符 2"/>
                <wp:cNvGraphicFramePr/>
                <a:graphic xmlns:a="http://schemas.openxmlformats.org/drawingml/2006/main">
                  <a:graphicData uri="http://schemas.microsoft.com/office/word/2010/wordprocessingShape">
                    <wps:wsp>
                      <wps:cNvCnPr/>
                      <wps:spPr>
                        <a:xfrm>
                          <a:off x="837565" y="2468880"/>
                          <a:ext cx="935990" cy="10325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15pt;margin-top:31pt;height:81.3pt;width:73.7pt;z-index:251658240;mso-width-relative:page;mso-height-relative:page;" filled="f" stroked="t" coordsize="21600,21600" o:gfxdata="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DNRdnvYAAAACgEAAA8AAAAAAAAA&#10;AQAgAAAAIgAAAGRycy9kb3ducmV2LnhtbFBLAQIUABQAAAAIAIdO4kBmxx1H2AEAAHMDAAAOAAAA&#10;AAAAAAEAIAAAACcBAABkcnMvZTJvRG9jLnhtbFBLBQYAAAAABgAGAFkBAABxBQAAAAA=&#10;">
                <v:fill on="f" focussize="0,0"/>
                <v:stroke weight="0.5pt" color="#000000 [3213]" miterlimit="8" joinstyle="miter"/>
                <v:imagedata o:title=""/>
                <o:lock v:ext="edit" aspectratio="f"/>
              </v:lin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column">
                  <wp:posOffset>292100</wp:posOffset>
                </wp:positionH>
                <wp:positionV relativeFrom="paragraph">
                  <wp:posOffset>349250</wp:posOffset>
                </wp:positionV>
                <wp:extent cx="881380" cy="454660"/>
                <wp:effectExtent l="0" t="0" r="0" b="0"/>
                <wp:wrapNone/>
                <wp:docPr id="3" name="文本框 3"/>
                <wp:cNvGraphicFramePr/>
                <a:graphic xmlns:a="http://schemas.openxmlformats.org/drawingml/2006/main">
                  <a:graphicData uri="http://schemas.microsoft.com/office/word/2010/wordprocessingShape">
                    <wps:wsp>
                      <wps:cNvSpPr txBox="1"/>
                      <wps:spPr>
                        <a:xfrm>
                          <a:off x="1235710" y="2540000"/>
                          <a:ext cx="881380" cy="4546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黑体" w:hAnsi="黑体" w:eastAsia="黑体" w:cs="黑体"/>
                                <w:lang w:eastAsia="zh-CN"/>
                              </w:rPr>
                            </w:pPr>
                            <w:r>
                              <w:rPr>
                                <w:rFonts w:hint="eastAsia" w:ascii="黑体" w:hAnsi="黑体" w:eastAsia="黑体" w:cs="黑体"/>
                                <w:lang w:eastAsia="zh-CN"/>
                              </w:rPr>
                              <w:t>情形</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7.5pt;height:35.8pt;width:69.4pt;z-index:251659264;mso-width-relative:page;mso-height-relative:page;" filled="f" stroked="f" coordsize="21600,21600" o:gfxdata="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bBrBf9kAAAAJAQAADwAAAAAAAAABACAAAAAiAAAAZHJzL2Rvd25yZXYueG1sUEsBAhQA&#10;FAAAAAgAh07iQCXXmAAqAgAAIwQAAA4AAAAAAAAAAQAgAAAAKAEAAGRycy9lMm9Eb2MueG1sUEsF&#10;BgAAAAAGAAYAWQEAAMQFAAAAAA==&#10;">
                <v:fill on="f" focussize="0,0"/>
                <v:stroke on="f" weight="0.5pt"/>
                <v:imagedata o:title=""/>
                <o:lock v:ext="edit" aspectratio="f"/>
                <v:textbox>
                  <w:txbxContent>
                    <w:p>
                      <w:pPr>
                        <w:rPr>
                          <w:rFonts w:hint="eastAsia" w:ascii="黑体" w:hAnsi="黑体" w:eastAsia="黑体" w:cs="黑体"/>
                          <w:lang w:eastAsia="zh-CN"/>
                        </w:rPr>
                      </w:pPr>
                      <w:r>
                        <w:rPr>
                          <w:rFonts w:hint="eastAsia" w:ascii="黑体" w:hAnsi="黑体" w:eastAsia="黑体" w:cs="黑体"/>
                          <w:lang w:eastAsia="zh-CN"/>
                        </w:rPr>
                        <w:t>情形</w:t>
                      </w:r>
                    </w:p>
                  </w:txbxContent>
                </v:textbox>
              </v:shape>
            </w:pict>
          </mc:Fallback>
        </mc:AlternateContent>
      </w:r>
    </w:p>
    <w:tbl>
      <w:tblPr>
        <w:tblStyle w:val="7"/>
        <w:tblW w:w="14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0"/>
        <w:gridCol w:w="126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3" w:hRule="atLeast"/>
        </w:trPr>
        <w:tc>
          <w:tcPr>
            <w:tcW w:w="1470" w:type="dxa"/>
            <w:vAlign w:val="center"/>
          </w:tcPr>
          <w:p/>
          <w:p>
            <w:pPr>
              <w:pStyle w:val="2"/>
              <w:spacing w:line="340" w:lineRule="exact"/>
              <w:jc w:val="right"/>
              <w:rPr>
                <w:rFonts w:hint="eastAsia" w:ascii="黑体" w:hAnsi="黑体" w:eastAsia="黑体" w:cs="黑体"/>
                <w:lang w:eastAsia="zh-CN"/>
              </w:rPr>
            </w:pPr>
            <w:r>
              <w:rPr>
                <w:sz w:val="28"/>
              </w:rPr>
              <mc:AlternateContent>
                <mc:Choice Requires="wps">
                  <w:drawing>
                    <wp:anchor distT="0" distB="0" distL="114300" distR="114300" simplePos="0" relativeHeight="251661312" behindDoc="0" locked="0" layoutInCell="1" allowOverlap="1">
                      <wp:simplePos x="0" y="0"/>
                      <wp:positionH relativeFrom="column">
                        <wp:posOffset>-86360</wp:posOffset>
                      </wp:positionH>
                      <wp:positionV relativeFrom="paragraph">
                        <wp:posOffset>70485</wp:posOffset>
                      </wp:positionV>
                      <wp:extent cx="881380" cy="401955"/>
                      <wp:effectExtent l="0" t="0" r="0" b="0"/>
                      <wp:wrapNone/>
                      <wp:docPr id="4" name="文本框 4"/>
                      <wp:cNvGraphicFramePr/>
                      <a:graphic xmlns:a="http://schemas.openxmlformats.org/drawingml/2006/main">
                        <a:graphicData uri="http://schemas.microsoft.com/office/word/2010/wordprocessingShape">
                          <wps:wsp>
                            <wps:cNvSpPr txBox="1"/>
                            <wps:spPr>
                              <a:xfrm>
                                <a:off x="0" y="0"/>
                                <a:ext cx="881380" cy="4019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序号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8pt;margin-top:5.55pt;height:31.65pt;width:69.4pt;z-index:251661312;mso-width-relative:page;mso-height-relative:page;" filled="f" stroked="f" coordsize="21600,21600" o:gfxdata="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P2AD5&#10;2gAAAAkBAAAPAAAAAAAAAAEAIAAAACIAAABkcnMvZG93bnJldi54bWxQSwECFAAUAAAACACHTuJA&#10;UuHk+x8CAAAXBAAADgAAAAAAAAABACAAAAApAQAAZHJzL2Uyb0RvYy54bWxQSwUGAAAAAAYABgBZ&#10;AQAAugUAAAAA&#10;">
                      <v:fill on="f" focussize="0,0"/>
                      <v:stroke on="f" weight="0.5pt"/>
                      <v:imagedata o:title=""/>
                      <o:lock v:ext="edit" aspectratio="f"/>
                      <v:textbox>
                        <w:txbxContent>
                          <w:p>
                            <w:pPr>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序号</w:t>
                            </w:r>
                          </w:p>
                        </w:txbxContent>
                      </v:textbox>
                    </v:shape>
                  </w:pict>
                </mc:Fallback>
              </mc:AlternateContent>
            </w:r>
          </w:p>
          <w:p>
            <w:pPr>
              <w:ind w:firstLine="0"/>
              <w:jc w:val="left"/>
              <w:rPr>
                <w:rFonts w:hint="eastAsia"/>
                <w:lang w:eastAsia="zh-CN"/>
              </w:rPr>
            </w:pPr>
          </w:p>
        </w:tc>
        <w:tc>
          <w:tcPr>
            <w:tcW w:w="12630" w:type="dxa"/>
            <w:vAlign w:val="center"/>
          </w:tcPr>
          <w:p>
            <w:pPr>
              <w:pStyle w:val="2"/>
              <w:spacing w:line="340" w:lineRule="exact"/>
              <w:jc w:val="both"/>
              <w:rPr>
                <w:rFonts w:hint="eastAsia" w:ascii="黑体" w:hAnsi="黑体" w:eastAsia="黑体" w:cs="黑体"/>
                <w:sz w:val="32"/>
                <w:szCs w:val="32"/>
                <w:vertAlign w:val="baseline"/>
                <w:lang w:eastAsia="zh-CN"/>
              </w:rPr>
            </w:pPr>
            <w:r>
              <w:rPr>
                <w:rFonts w:hint="eastAsia" w:ascii="黑体" w:hAnsi="黑体" w:eastAsia="黑体" w:cs="黑体"/>
                <w:sz w:val="32"/>
              </w:rPr>
              <w:t>一、下列违法行为符合相应轻微情节，及时纠正，没有造成危害后果的，可以不予行政处罚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7" w:hRule="atLeast"/>
        </w:trPr>
        <w:tc>
          <w:tcPr>
            <w:tcW w:w="1470" w:type="dxa"/>
            <w:vAlign w:val="center"/>
          </w:tcPr>
          <w:p>
            <w:pPr>
              <w:pStyle w:val="2"/>
              <w:spacing w:line="34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（一）</w:t>
            </w:r>
          </w:p>
        </w:tc>
        <w:tc>
          <w:tcPr>
            <w:tcW w:w="12630" w:type="dxa"/>
            <w:vAlign w:val="center"/>
          </w:tcPr>
          <w:p>
            <w:pPr>
              <w:spacing w:line="340" w:lineRule="exact"/>
              <w:jc w:val="both"/>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接受土地调查的单位和个人拒绝土地调查人员进入调查范围，经责令限期改正后及时改正，且未造成危害后果。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trPr>
        <w:tc>
          <w:tcPr>
            <w:tcW w:w="1470" w:type="dxa"/>
            <w:vAlign w:val="center"/>
          </w:tcPr>
          <w:p>
            <w:pPr>
              <w:pStyle w:val="2"/>
              <w:spacing w:line="34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（二）</w:t>
            </w:r>
          </w:p>
        </w:tc>
        <w:tc>
          <w:tcPr>
            <w:tcW w:w="12630" w:type="dxa"/>
            <w:vAlign w:val="center"/>
          </w:tcPr>
          <w:p>
            <w:pPr>
              <w:spacing w:line="340" w:lineRule="exact"/>
              <w:jc w:val="both"/>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采矿权人拒绝监督检查人员进入检查范围，经责令停止违法行为后及时停止，且未造成危害后果。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trPr>
        <w:tc>
          <w:tcPr>
            <w:tcW w:w="1470" w:type="dxa"/>
            <w:vAlign w:val="center"/>
          </w:tcPr>
          <w:p>
            <w:pPr>
              <w:pStyle w:val="2"/>
              <w:spacing w:line="34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（三）</w:t>
            </w:r>
          </w:p>
        </w:tc>
        <w:tc>
          <w:tcPr>
            <w:tcW w:w="12630" w:type="dxa"/>
            <w:vAlign w:val="center"/>
          </w:tcPr>
          <w:p>
            <w:pPr>
              <w:pStyle w:val="2"/>
              <w:spacing w:line="340" w:lineRule="exact"/>
              <w:jc w:val="both"/>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土地复垦义务人拒绝监督检查人员进入检查范围，经责令改正后及时改正，且未造成危害后果。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0" w:hRule="atLeast"/>
        </w:trPr>
        <w:tc>
          <w:tcPr>
            <w:tcW w:w="1470" w:type="dxa"/>
            <w:vAlign w:val="center"/>
          </w:tcPr>
          <w:p>
            <w:pPr>
              <w:pStyle w:val="2"/>
              <w:spacing w:line="340" w:lineRule="exact"/>
              <w:jc w:val="center"/>
              <w:rPr>
                <w:rFonts w:hint="eastAsia" w:ascii="仿宋_GB2312" w:hAnsi="仿宋_GB2312" w:eastAsia="仿宋_GB2312" w:cs="仿宋_GB2312"/>
                <w:sz w:val="28"/>
                <w:szCs w:val="28"/>
                <w:vertAlign w:val="baseline"/>
                <w:lang w:val="en-US" w:eastAsia="zh-CN"/>
              </w:rPr>
            </w:pPr>
          </w:p>
        </w:tc>
        <w:tc>
          <w:tcPr>
            <w:tcW w:w="12630" w:type="dxa"/>
            <w:vAlign w:val="center"/>
          </w:tcPr>
          <w:p>
            <w:pPr>
              <w:pStyle w:val="2"/>
              <w:spacing w:line="340" w:lineRule="exact"/>
              <w:jc w:val="both"/>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黑体" w:hAnsi="黑体" w:eastAsia="黑体" w:cs="黑体"/>
                <w:sz w:val="32"/>
              </w:rPr>
              <w:t>二、下列违法行为属于初次违法且危害后果轻微并及时改正的，可以不予行政处罚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7" w:hRule="atLeast"/>
        </w:trPr>
        <w:tc>
          <w:tcPr>
            <w:tcW w:w="1470" w:type="dxa"/>
            <w:vAlign w:val="center"/>
          </w:tcPr>
          <w:p>
            <w:pPr>
              <w:pStyle w:val="2"/>
              <w:spacing w:line="34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（一）</w:t>
            </w:r>
          </w:p>
        </w:tc>
        <w:tc>
          <w:tcPr>
            <w:tcW w:w="12630" w:type="dxa"/>
            <w:vAlign w:val="center"/>
          </w:tcPr>
          <w:p>
            <w:pPr>
              <w:spacing w:line="340" w:lineRule="exact"/>
              <w:jc w:val="both"/>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依法收回国有土地使用权当事人拒不交出土地，初次违法且未对再次利用土地造成影响，经责令交出或归还土地后及时交出或归还的。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7" w:hRule="atLeast"/>
        </w:trPr>
        <w:tc>
          <w:tcPr>
            <w:tcW w:w="1470" w:type="dxa"/>
            <w:vAlign w:val="center"/>
          </w:tcPr>
          <w:p>
            <w:pPr>
              <w:pStyle w:val="2"/>
              <w:spacing w:line="34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（二）</w:t>
            </w:r>
          </w:p>
        </w:tc>
        <w:tc>
          <w:tcPr>
            <w:tcW w:w="12630" w:type="dxa"/>
            <w:vAlign w:val="center"/>
          </w:tcPr>
          <w:p>
            <w:pPr>
              <w:spacing w:line="340" w:lineRule="exact"/>
              <w:jc w:val="both"/>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采矿权人不依照《矿产资源开采登记管理办法》有关规定提交年度报告，初次违法且未对矿产资源开采管理工作产生影响，经执法人员提醒后及时提交年度报告的。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1470" w:type="dxa"/>
            <w:vAlign w:val="center"/>
          </w:tcPr>
          <w:p>
            <w:pPr>
              <w:pStyle w:val="2"/>
              <w:spacing w:line="34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（三）</w:t>
            </w:r>
          </w:p>
        </w:tc>
        <w:tc>
          <w:tcPr>
            <w:tcW w:w="12630" w:type="dxa"/>
            <w:vAlign w:val="center"/>
          </w:tcPr>
          <w:p>
            <w:pPr>
              <w:spacing w:line="340" w:lineRule="exact"/>
              <w:jc w:val="both"/>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b w:val="0"/>
                <w:bCs w:val="0"/>
                <w:color w:val="000000" w:themeColor="text1"/>
                <w:kern w:val="2"/>
                <w:sz w:val="28"/>
                <w:szCs w:val="28"/>
                <w:lang w:val="en-US" w:eastAsia="zh-CN" w:bidi="ar-SA"/>
                <w14:textFill>
                  <w14:solidFill>
                    <w14:schemeClr w14:val="tx1"/>
                  </w14:solidFill>
                </w14:textFill>
              </w:rPr>
              <w:t>未按《地图管理条例》有关规定在地图的适当位置显著标注审图号</w:t>
            </w:r>
            <w:r>
              <w:rPr>
                <w:rFonts w:hint="eastAsia" w:ascii="仿宋_GB2312" w:hAnsi="仿宋_GB2312" w:cs="仿宋_GB2312"/>
                <w:b w:val="0"/>
                <w:bCs w:val="0"/>
                <w:color w:val="000000" w:themeColor="text1"/>
                <w:kern w:val="2"/>
                <w:sz w:val="28"/>
                <w:szCs w:val="28"/>
                <w:lang w:val="en-US" w:eastAsia="zh-CN" w:bidi="ar-SA"/>
                <w14:textFill>
                  <w14:solidFill>
                    <w14:schemeClr w14:val="tx1"/>
                  </w14:solidFill>
                </w14:textFill>
              </w:rPr>
              <w:t>，</w:t>
            </w:r>
            <w:r>
              <w:rPr>
                <w:rFonts w:hint="eastAsia" w:ascii="仿宋_GB2312" w:hAnsi="仿宋_GB2312" w:eastAsia="仿宋_GB2312" w:cs="仿宋_GB2312"/>
                <w:b w:val="0"/>
                <w:bCs w:val="0"/>
                <w:color w:val="000000" w:themeColor="text1"/>
                <w:kern w:val="2"/>
                <w:sz w:val="28"/>
                <w:szCs w:val="28"/>
                <w:lang w:val="en-US" w:eastAsia="zh-CN" w:bidi="ar-SA"/>
                <w14:textFill>
                  <w14:solidFill>
                    <w14:schemeClr w14:val="tx1"/>
                  </w14:solidFill>
                </w14:textFill>
              </w:rPr>
              <w:t>初次违法且能够及时补注审图号，经执法人员提醒能当场标注审图号的。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7" w:hRule="atLeast"/>
        </w:trPr>
        <w:tc>
          <w:tcPr>
            <w:tcW w:w="1470" w:type="dxa"/>
            <w:vAlign w:val="center"/>
          </w:tcPr>
          <w:p>
            <w:pPr>
              <w:pStyle w:val="2"/>
              <w:spacing w:line="340" w:lineRule="exact"/>
              <w:jc w:val="center"/>
              <w:rPr>
                <w:rFonts w:hint="eastAsia" w:ascii="仿宋_GB2312" w:hAnsi="仿宋_GB2312" w:eastAsia="仿宋_GB2312" w:cs="仿宋_GB2312"/>
                <w:sz w:val="28"/>
                <w:szCs w:val="28"/>
                <w:vertAlign w:val="baseline"/>
                <w:lang w:val="en-US" w:eastAsia="zh-CN"/>
              </w:rPr>
            </w:pPr>
          </w:p>
        </w:tc>
        <w:tc>
          <w:tcPr>
            <w:tcW w:w="12630" w:type="dxa"/>
            <w:vAlign w:val="center"/>
          </w:tcPr>
          <w:p>
            <w:pPr>
              <w:spacing w:line="340" w:lineRule="exact"/>
              <w:jc w:val="both"/>
              <w:rPr>
                <w:rFonts w:hint="eastAsia" w:ascii="仿宋_GB2312" w:hAnsi="仿宋_GB2312" w:eastAsia="仿宋_GB2312" w:cs="仿宋_GB2312"/>
                <w:b w:val="0"/>
                <w:bCs w:val="0"/>
                <w:color w:val="000000" w:themeColor="text1"/>
                <w:kern w:val="2"/>
                <w:sz w:val="28"/>
                <w:szCs w:val="28"/>
                <w:lang w:val="en-US" w:eastAsia="zh-CN" w:bidi="ar-SA"/>
                <w14:textFill>
                  <w14:solidFill>
                    <w14:schemeClr w14:val="tx1"/>
                  </w14:solidFill>
                </w14:textFill>
              </w:rPr>
            </w:pPr>
            <w:r>
              <w:rPr>
                <w:rFonts w:hint="eastAsia" w:ascii="黑体" w:hAnsi="黑体" w:eastAsia="黑体" w:cs="黑体"/>
              </w:rPr>
              <w:t>三、下列违法行为，责令限期改正后能够在期限内及时改正的，不予行政处罚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7" w:hRule="atLeast"/>
        </w:trPr>
        <w:tc>
          <w:tcPr>
            <w:tcW w:w="1470" w:type="dxa"/>
            <w:vAlign w:val="center"/>
          </w:tcPr>
          <w:p>
            <w:pPr>
              <w:pStyle w:val="2"/>
              <w:spacing w:line="34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（一）</w:t>
            </w:r>
          </w:p>
        </w:tc>
        <w:tc>
          <w:tcPr>
            <w:tcW w:w="12630" w:type="dxa"/>
            <w:vAlign w:val="center"/>
          </w:tcPr>
          <w:p>
            <w:pPr>
              <w:spacing w:line="340" w:lineRule="exact"/>
              <w:jc w:val="both"/>
              <w:rPr>
                <w:rFonts w:hint="eastAsia" w:ascii="仿宋_GB2312" w:hAnsi="仿宋_GB2312" w:eastAsia="仿宋_GB2312" w:cs="仿宋_GB2312"/>
                <w:b w:val="0"/>
                <w:bCs w:val="0"/>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t>建设单位未在建设工程竣工验收后六个月内向城乡规划主管部门报送有关竣工验收资料</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由所在地城市、县人民政府城乡规划主管部门责令限期补报，在期限内及时改正的。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2" w:hRule="atLeast"/>
        </w:trPr>
        <w:tc>
          <w:tcPr>
            <w:tcW w:w="1470" w:type="dxa"/>
            <w:vAlign w:val="center"/>
          </w:tcPr>
          <w:p>
            <w:pPr>
              <w:pStyle w:val="2"/>
              <w:spacing w:line="34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（二）</w:t>
            </w:r>
          </w:p>
        </w:tc>
        <w:tc>
          <w:tcPr>
            <w:tcW w:w="12630" w:type="dxa"/>
            <w:vAlign w:val="center"/>
          </w:tcPr>
          <w:p>
            <w:pPr>
              <w:numPr>
                <w:ilvl w:val="0"/>
                <w:numId w:val="0"/>
              </w:numPr>
              <w:spacing w:line="340" w:lineRule="exact"/>
              <w:jc w:val="both"/>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探矿权人未按《矿产资源勘查区块登记管理办法》的规定备案、报告有关情况、拒绝接受监督检查或者弄虚作假，由县级以上人民政府负责地质矿产管理工作的部门责令限期改正，在期限内及时改正的。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2" w:hRule="atLeast"/>
        </w:trPr>
        <w:tc>
          <w:tcPr>
            <w:tcW w:w="1470" w:type="dxa"/>
            <w:vAlign w:val="center"/>
          </w:tcPr>
          <w:p>
            <w:pPr>
              <w:pStyle w:val="2"/>
              <w:spacing w:line="34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（三）</w:t>
            </w:r>
          </w:p>
        </w:tc>
        <w:tc>
          <w:tcPr>
            <w:tcW w:w="12630" w:type="dxa"/>
            <w:vAlign w:val="center"/>
          </w:tcPr>
          <w:p>
            <w:pPr>
              <w:numPr>
                <w:ilvl w:val="0"/>
                <w:numId w:val="0"/>
              </w:numPr>
              <w:spacing w:line="340" w:lineRule="exact"/>
              <w:jc w:val="both"/>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探矿权人未完成最低勘查投入，由县级以上人民政府负责地质矿产管理工作的部门责令限期改正，在期限内及时改正的。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7" w:hRule="atLeast"/>
        </w:trPr>
        <w:tc>
          <w:tcPr>
            <w:tcW w:w="1470" w:type="dxa"/>
            <w:vAlign w:val="center"/>
          </w:tcPr>
          <w:p>
            <w:pPr>
              <w:pStyle w:val="2"/>
              <w:spacing w:line="34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（四）</w:t>
            </w:r>
          </w:p>
        </w:tc>
        <w:tc>
          <w:tcPr>
            <w:tcW w:w="12630" w:type="dxa"/>
            <w:vAlign w:val="center"/>
          </w:tcPr>
          <w:p>
            <w:pPr>
              <w:spacing w:line="340" w:lineRule="exact"/>
              <w:jc w:val="both"/>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已经领取勘查许可证的勘查项目，满6个月未开始施工，或者施工后无故停止勘查工作满6个月</w:t>
            </w:r>
            <w:r>
              <w:rPr>
                <w:rFonts w:hint="eastAsia" w:ascii="仿宋_GB2312" w:hAnsi="仿宋_GB2312" w:cs="仿宋_GB2312"/>
                <w:b w:val="0"/>
                <w:bCs w:val="0"/>
                <w:color w:val="000000" w:themeColor="text1"/>
                <w:sz w:val="28"/>
                <w:szCs w:val="28"/>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由县级以上人民政府负责地质矿产管理工作的部门责令限期改正，在期限内及时改正的。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7" w:hRule="atLeast"/>
        </w:trPr>
        <w:tc>
          <w:tcPr>
            <w:tcW w:w="1470" w:type="dxa"/>
            <w:vAlign w:val="center"/>
          </w:tcPr>
          <w:p>
            <w:pPr>
              <w:pStyle w:val="2"/>
              <w:spacing w:line="34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（五）</w:t>
            </w:r>
          </w:p>
        </w:tc>
        <w:tc>
          <w:tcPr>
            <w:tcW w:w="12630" w:type="dxa"/>
            <w:vAlign w:val="center"/>
          </w:tcPr>
          <w:p>
            <w:pPr>
              <w:spacing w:line="340" w:lineRule="exact"/>
              <w:jc w:val="both"/>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探矿权人不办理勘查许可证变更登记或者注销登记手续</w:t>
            </w:r>
            <w:r>
              <w:rPr>
                <w:rFonts w:hint="eastAsia" w:ascii="仿宋_GB2312" w:hAnsi="仿宋_GB2312" w:cs="仿宋_GB2312"/>
                <w:b w:val="0"/>
                <w:bCs w:val="0"/>
                <w:color w:val="000000" w:themeColor="text1"/>
                <w:sz w:val="28"/>
                <w:szCs w:val="28"/>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由登记管理机关责令限期改正，在期限内及时改正的。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7" w:hRule="atLeast"/>
        </w:trPr>
        <w:tc>
          <w:tcPr>
            <w:tcW w:w="1470" w:type="dxa"/>
            <w:vAlign w:val="center"/>
          </w:tcPr>
          <w:p>
            <w:pPr>
              <w:pStyle w:val="2"/>
              <w:spacing w:line="34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（六）</w:t>
            </w:r>
          </w:p>
        </w:tc>
        <w:tc>
          <w:tcPr>
            <w:tcW w:w="12630" w:type="dxa"/>
            <w:vAlign w:val="center"/>
          </w:tcPr>
          <w:p>
            <w:pPr>
              <w:numPr>
                <w:ilvl w:val="0"/>
                <w:numId w:val="0"/>
              </w:numPr>
              <w:spacing w:line="340" w:lineRule="exact"/>
              <w:jc w:val="both"/>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采矿权人不办理采矿许可证变更或注销手续</w:t>
            </w:r>
            <w:r>
              <w:rPr>
                <w:rFonts w:hint="eastAsia" w:ascii="仿宋_GB2312" w:hAnsi="仿宋_GB2312" w:cs="仿宋_GB2312"/>
                <w:b w:val="0"/>
                <w:bCs w:val="0"/>
                <w:color w:val="000000" w:themeColor="text1"/>
                <w:sz w:val="28"/>
                <w:szCs w:val="28"/>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由登记管理机关责令限期改正，在期限内及时改正的。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2" w:hRule="atLeast"/>
        </w:trPr>
        <w:tc>
          <w:tcPr>
            <w:tcW w:w="1470" w:type="dxa"/>
            <w:vAlign w:val="center"/>
          </w:tcPr>
          <w:p>
            <w:pPr>
              <w:pStyle w:val="2"/>
              <w:spacing w:line="34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（七）</w:t>
            </w:r>
          </w:p>
        </w:tc>
        <w:tc>
          <w:tcPr>
            <w:tcW w:w="12630" w:type="dxa"/>
            <w:vAlign w:val="center"/>
          </w:tcPr>
          <w:p>
            <w:pPr>
              <w:spacing w:line="340" w:lineRule="exact"/>
              <w:jc w:val="both"/>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地质灾害危险性评估单位不及时办理资质证书变更、注销手续</w:t>
            </w:r>
            <w:r>
              <w:rPr>
                <w:rFonts w:hint="eastAsia" w:ascii="仿宋_GB2312" w:hAnsi="仿宋_GB2312" w:cs="仿宋_GB2312"/>
                <w:b w:val="0"/>
                <w:bCs w:val="0"/>
                <w:color w:val="000000" w:themeColor="text1"/>
                <w:sz w:val="28"/>
                <w:szCs w:val="28"/>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由县级以上自然资源主管部门责令限期改正，在期限内及时改正的。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4" w:hRule="atLeast"/>
        </w:trPr>
        <w:tc>
          <w:tcPr>
            <w:tcW w:w="1470" w:type="dxa"/>
            <w:vAlign w:val="center"/>
          </w:tcPr>
          <w:p>
            <w:pPr>
              <w:pStyle w:val="2"/>
              <w:spacing w:line="34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（八）</w:t>
            </w:r>
          </w:p>
        </w:tc>
        <w:tc>
          <w:tcPr>
            <w:tcW w:w="12630" w:type="dxa"/>
            <w:vAlign w:val="center"/>
          </w:tcPr>
          <w:p>
            <w:pPr>
              <w:spacing w:line="340" w:lineRule="exact"/>
              <w:jc w:val="both"/>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地质灾害治理工程监理单位不及时办理资质证书变更、注销手续</w:t>
            </w:r>
            <w:r>
              <w:rPr>
                <w:rFonts w:hint="eastAsia" w:ascii="仿宋_GB2312" w:hAnsi="仿宋_GB2312" w:cs="仿宋_GB2312"/>
                <w:b w:val="0"/>
                <w:bCs w:val="0"/>
                <w:color w:val="000000" w:themeColor="text1"/>
                <w:sz w:val="28"/>
                <w:szCs w:val="28"/>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由县级以上自然资源主管部门责令限期改正，在期限内及时改正的。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4" w:hRule="atLeast"/>
        </w:trPr>
        <w:tc>
          <w:tcPr>
            <w:tcW w:w="1470" w:type="dxa"/>
            <w:vAlign w:val="center"/>
          </w:tcPr>
          <w:p>
            <w:pPr>
              <w:pStyle w:val="2"/>
              <w:spacing w:line="34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（九）</w:t>
            </w:r>
          </w:p>
        </w:tc>
        <w:tc>
          <w:tcPr>
            <w:tcW w:w="12630" w:type="dxa"/>
            <w:vAlign w:val="center"/>
          </w:tcPr>
          <w:p>
            <w:pPr>
              <w:spacing w:line="340" w:lineRule="exact"/>
              <w:jc w:val="both"/>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地质灾害治理工程勘查、设计和施工单位不及时办理资质证书变更、注销手续</w:t>
            </w:r>
            <w:r>
              <w:rPr>
                <w:rFonts w:hint="eastAsia" w:ascii="仿宋_GB2312" w:hAnsi="仿宋_GB2312" w:cs="仿宋_GB2312"/>
                <w:b w:val="0"/>
                <w:bCs w:val="0"/>
                <w:color w:val="000000" w:themeColor="text1"/>
                <w:sz w:val="28"/>
                <w:szCs w:val="28"/>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由县级以上自然资源主管部门责令限期改正，在期限内及时改正的。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6" w:hRule="atLeast"/>
        </w:trPr>
        <w:tc>
          <w:tcPr>
            <w:tcW w:w="1470" w:type="dxa"/>
            <w:vAlign w:val="center"/>
          </w:tcPr>
          <w:p>
            <w:pPr>
              <w:pStyle w:val="2"/>
              <w:spacing w:line="340" w:lineRule="exact"/>
              <w:ind w:firstLine="280" w:firstLineChars="100"/>
              <w:jc w:val="both"/>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val="en-US" w:eastAsia="zh-CN"/>
              </w:rPr>
              <w:t>（十）</w:t>
            </w:r>
          </w:p>
        </w:tc>
        <w:tc>
          <w:tcPr>
            <w:tcW w:w="12630" w:type="dxa"/>
            <w:vAlign w:val="center"/>
          </w:tcPr>
          <w:p>
            <w:pPr>
              <w:spacing w:line="340" w:lineRule="exact"/>
              <w:jc w:val="both"/>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地质灾害危险性评估单位不按时进行资质和项目备案，由县级以上自然资源主管部门责令限期改正，在期限内及时</w:t>
            </w:r>
            <w:bookmarkStart w:id="0" w:name="_GoBack"/>
            <w:bookmarkEnd w:id="0"/>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改正的。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8" w:hRule="atLeast"/>
        </w:trPr>
        <w:tc>
          <w:tcPr>
            <w:tcW w:w="1470" w:type="dxa"/>
            <w:vAlign w:val="center"/>
          </w:tcPr>
          <w:p>
            <w:pPr>
              <w:pStyle w:val="2"/>
              <w:spacing w:line="340" w:lineRule="exact"/>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（十一）</w:t>
            </w:r>
          </w:p>
        </w:tc>
        <w:tc>
          <w:tcPr>
            <w:tcW w:w="12630" w:type="dxa"/>
            <w:vAlign w:val="center"/>
          </w:tcPr>
          <w:p>
            <w:pPr>
              <w:spacing w:line="340" w:lineRule="exact"/>
              <w:jc w:val="both"/>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i w:val="0"/>
                <w:caps w:val="0"/>
                <w:color w:val="000000" w:themeColor="text1"/>
                <w:spacing w:val="0"/>
                <w:sz w:val="28"/>
                <w:szCs w:val="28"/>
                <w:shd w:val="clear" w:fill="auto"/>
                <w14:textFill>
                  <w14:solidFill>
                    <w14:schemeClr w14:val="tx1"/>
                  </w14:solidFill>
                </w14:textFill>
              </w:rPr>
              <w:t>地质灾害治理工程监理单位</w:t>
            </w:r>
            <w:r>
              <w:rPr>
                <w:rFonts w:hint="eastAsia" w:ascii="仿宋_GB2312" w:hAnsi="仿宋_GB2312" w:eastAsia="仿宋_GB2312" w:cs="仿宋_GB2312"/>
                <w:b w:val="0"/>
                <w:bCs w:val="0"/>
                <w:i w:val="0"/>
                <w:caps w:val="0"/>
                <w:color w:val="000000" w:themeColor="text1"/>
                <w:spacing w:val="0"/>
                <w:sz w:val="28"/>
                <w:szCs w:val="28"/>
                <w:shd w:val="clear" w:fill="auto"/>
                <w:lang w:val="en-US" w:eastAsia="zh-CN"/>
                <w14:textFill>
                  <w14:solidFill>
                    <w14:schemeClr w14:val="tx1"/>
                  </w14:solidFill>
                </w14:textFill>
              </w:rPr>
              <w:t>不按照规定进行备案，由县级以上自然资源主管部门责令限期改正，在期限内及时改正的。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4" w:hRule="atLeast"/>
        </w:trPr>
        <w:tc>
          <w:tcPr>
            <w:tcW w:w="1470" w:type="dxa"/>
            <w:vAlign w:val="center"/>
          </w:tcPr>
          <w:p>
            <w:pPr>
              <w:pStyle w:val="2"/>
              <w:spacing w:line="340" w:lineRule="exact"/>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（十二）</w:t>
            </w:r>
          </w:p>
        </w:tc>
        <w:tc>
          <w:tcPr>
            <w:tcW w:w="12630" w:type="dxa"/>
            <w:vAlign w:val="center"/>
          </w:tcPr>
          <w:p>
            <w:pPr>
              <w:spacing w:line="340" w:lineRule="exact"/>
              <w:jc w:val="both"/>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i w:val="0"/>
                <w:caps w:val="0"/>
                <w:color w:val="000000" w:themeColor="text1"/>
                <w:spacing w:val="0"/>
                <w:sz w:val="28"/>
                <w:szCs w:val="28"/>
                <w:shd w:val="clear" w:fill="auto"/>
                <w14:textFill>
                  <w14:solidFill>
                    <w14:schemeClr w14:val="tx1"/>
                  </w14:solidFill>
                </w14:textFill>
              </w:rPr>
              <w:t>地质灾害治理工程勘查、设计和施工单位</w:t>
            </w:r>
            <w:r>
              <w:rPr>
                <w:rFonts w:hint="eastAsia" w:ascii="仿宋_GB2312" w:hAnsi="仿宋_GB2312" w:eastAsia="仿宋_GB2312" w:cs="仿宋_GB2312"/>
                <w:b w:val="0"/>
                <w:bCs w:val="0"/>
                <w:color w:val="000000" w:themeColor="text1"/>
                <w:sz w:val="28"/>
                <w:szCs w:val="28"/>
                <w14:textFill>
                  <w14:solidFill>
                    <w14:schemeClr w14:val="tx1"/>
                  </w14:solidFill>
                </w14:textFill>
              </w:rPr>
              <w:t>不按照规定进行备案</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由县级以上自然资源主管部门责令限期改正，在期限内及时改正的。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6" w:hRule="atLeast"/>
        </w:trPr>
        <w:tc>
          <w:tcPr>
            <w:tcW w:w="1470" w:type="dxa"/>
            <w:vAlign w:val="center"/>
          </w:tcPr>
          <w:p>
            <w:pPr>
              <w:pStyle w:val="2"/>
              <w:spacing w:line="340" w:lineRule="exact"/>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（十三）</w:t>
            </w:r>
          </w:p>
        </w:tc>
        <w:tc>
          <w:tcPr>
            <w:tcW w:w="12630" w:type="dxa"/>
            <w:vAlign w:val="center"/>
          </w:tcPr>
          <w:p>
            <w:pPr>
              <w:spacing w:line="340" w:lineRule="exact"/>
              <w:jc w:val="both"/>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测绘项目出资人或承担国家投资的测绘项目的单位不汇交测绘成果资料，责令限期汇交，在期限内及时</w:t>
            </w:r>
            <w:r>
              <w:rPr>
                <w:rFonts w:hint="eastAsia" w:ascii="仿宋_GB2312" w:hAnsi="仿宋_GB2312" w:cs="仿宋_GB2312"/>
                <w:b w:val="0"/>
                <w:bCs w:val="0"/>
                <w:color w:val="000000" w:themeColor="text1"/>
                <w:sz w:val="28"/>
                <w:szCs w:val="28"/>
                <w:lang w:val="en-US" w:eastAsia="zh-CN"/>
                <w14:textFill>
                  <w14:solidFill>
                    <w14:schemeClr w14:val="tx1"/>
                  </w14:solidFill>
                </w14:textFill>
              </w:rPr>
              <w:t>改正</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9" w:hRule="atLeast"/>
        </w:trPr>
        <w:tc>
          <w:tcPr>
            <w:tcW w:w="14100" w:type="dxa"/>
            <w:gridSpan w:val="2"/>
            <w:vAlign w:val="center"/>
          </w:tcPr>
          <w:p>
            <w:pPr>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cs="仿宋_GB2312"/>
                <w:b w:val="0"/>
                <w:bCs w:val="0"/>
                <w:i w:val="0"/>
                <w:caps w:val="0"/>
                <w:color w:val="000000" w:themeColor="text1"/>
                <w:spacing w:val="0"/>
                <w:sz w:val="28"/>
                <w:szCs w:val="28"/>
                <w:shd w:val="clear" w:fill="auto"/>
                <w:lang w:val="en-US" w:eastAsia="zh-CN"/>
                <w14:textFill>
                  <w14:solidFill>
                    <w14:schemeClr w14:val="tx1"/>
                  </w14:solidFill>
                </w14:textFill>
              </w:rPr>
              <w:t>注：</w:t>
            </w:r>
            <w:r>
              <w:rPr>
                <w:rFonts w:hint="eastAsia" w:ascii="仿宋_GB2312" w:hAnsi="仿宋_GB2312" w:eastAsia="仿宋_GB2312" w:cs="仿宋_GB2312"/>
                <w:b w:val="0"/>
                <w:bCs w:val="0"/>
                <w:i w:val="0"/>
                <w:caps w:val="0"/>
                <w:color w:val="000000" w:themeColor="text1"/>
                <w:spacing w:val="0"/>
                <w:sz w:val="28"/>
                <w:szCs w:val="28"/>
                <w:shd w:val="clear" w:fill="auto"/>
                <w:lang w:val="en-US" w:eastAsia="zh-CN"/>
                <w14:textFill>
                  <w14:solidFill>
                    <w14:schemeClr w14:val="tx1"/>
                  </w14:solidFill>
                </w14:textFill>
              </w:rPr>
              <w:t>其他规划和自然资源领域轻微违法行为，符合《中华人民共和国行政处罚法》等法律、法规、规章规定的不予处罚情形的，</w:t>
            </w:r>
            <w:r>
              <w:rPr>
                <w:rFonts w:hint="eastAsia" w:ascii="仿宋_GB2312" w:hAnsi="仿宋_GB2312" w:cs="仿宋_GB2312"/>
                <w:b w:val="0"/>
                <w:bCs w:val="0"/>
                <w:i w:val="0"/>
                <w:caps w:val="0"/>
                <w:color w:val="000000" w:themeColor="text1"/>
                <w:spacing w:val="0"/>
                <w:sz w:val="28"/>
                <w:szCs w:val="28"/>
                <w:shd w:val="clear" w:fill="auto"/>
                <w:lang w:val="en-US" w:eastAsia="zh-CN"/>
                <w14:textFill>
                  <w14:solidFill>
                    <w14:schemeClr w14:val="tx1"/>
                  </w14:solidFill>
                </w14:textFill>
              </w:rPr>
              <w:t>依法</w:t>
            </w:r>
            <w:r>
              <w:rPr>
                <w:rFonts w:hint="eastAsia" w:ascii="仿宋_GB2312" w:hAnsi="仿宋_GB2312" w:eastAsia="仿宋_GB2312" w:cs="仿宋_GB2312"/>
                <w:b w:val="0"/>
                <w:bCs w:val="0"/>
                <w:i w:val="0"/>
                <w:caps w:val="0"/>
                <w:color w:val="000000" w:themeColor="text1"/>
                <w:spacing w:val="0"/>
                <w:sz w:val="28"/>
                <w:szCs w:val="28"/>
                <w:shd w:val="clear" w:fill="auto"/>
                <w:lang w:val="en-US" w:eastAsia="zh-CN"/>
                <w14:textFill>
                  <w14:solidFill>
                    <w14:schemeClr w14:val="tx1"/>
                  </w14:solidFill>
                </w14:textFill>
              </w:rPr>
              <w:t>不予处罚。</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公文小标宋简">
    <w:altName w:val="宋体"/>
    <w:panose1 w:val="00000000000000000000"/>
    <w:charset w:val="86"/>
    <w:family w:val="modern"/>
    <w:pitch w:val="default"/>
    <w:sig w:usb0="00000000" w:usb1="00000000" w:usb2="00000000" w:usb3="00000000" w:csb0="00040001" w:csb1="00000000"/>
  </w:font>
  <w:font w:name="方正小标宋简体">
    <w:altName w:val="Arial Unicode MS"/>
    <w:panose1 w:val="02010601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4279A6"/>
    <w:rsid w:val="284279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Body Text"/>
    <w:basedOn w:val="1"/>
    <w:qFormat/>
    <w:uiPriority w:val="0"/>
    <w:pPr>
      <w:jc w:val="center"/>
    </w:pPr>
    <w:rPr>
      <w:rFonts w:eastAsia="公文小标宋简"/>
      <w:sz w:val="44"/>
    </w:r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Office_10.8.2.7027_F1E327BC-269C-435d-A152-05C5408002CA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2021-12-28T02:14:00Z</dcterms:created>
  <dc:creator>田美英</dc:creator>
  <cp:lastModifiedBy>田美英</cp:lastModifiedBy>
  <dcterms:modified xsi:type="dcterms:W3CDTF">2021-12-28T02:18:19Z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2052-10.8.2.7027</vt:lpwstr>
  </property>
</Properties>
</file>